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A3BC4F" w14:textId="77777777" w:rsidR="00AE6213" w:rsidRDefault="00967F8A" w:rsidP="00AE6213">
      <w:pPr>
        <w:pStyle w:val="3GPPHeader"/>
        <w:spacing w:after="60"/>
        <w:rPr>
          <w:sz w:val="32"/>
          <w:szCs w:val="32"/>
        </w:rPr>
      </w:pPr>
      <w:r w:rsidRPr="008479D9">
        <w:t>3GPP TSG-RAN WG2 #</w:t>
      </w:r>
      <w:r w:rsidR="00B76088">
        <w:t>100</w:t>
      </w:r>
      <w:r w:rsidRPr="008479D9">
        <w:tab/>
      </w:r>
      <w:r w:rsidRPr="00B55B50">
        <w:rPr>
          <w:sz w:val="32"/>
          <w:szCs w:val="32"/>
        </w:rPr>
        <w:t xml:space="preserve">Tdoc </w:t>
      </w:r>
      <w:bookmarkStart w:id="0" w:name="_GoBack"/>
      <w:r w:rsidR="00AE6213" w:rsidRPr="00AE6213">
        <w:rPr>
          <w:sz w:val="32"/>
          <w:szCs w:val="32"/>
        </w:rPr>
        <w:t>R2-1713594</w:t>
      </w:r>
      <w:bookmarkEnd w:id="0"/>
    </w:p>
    <w:p w14:paraId="6AD30680" w14:textId="582F462B" w:rsidR="00967F8A" w:rsidRDefault="00B76088" w:rsidP="00AE6213">
      <w:pPr>
        <w:pStyle w:val="3GPPHeader"/>
        <w:spacing w:after="60"/>
        <w:rPr>
          <w:b w:val="0"/>
          <w:noProof/>
        </w:rPr>
      </w:pPr>
      <w:r>
        <w:rPr>
          <w:noProof/>
        </w:rPr>
        <w:t>Reno</w:t>
      </w:r>
      <w:r w:rsidR="00967F8A" w:rsidRPr="008479D9">
        <w:rPr>
          <w:noProof/>
        </w:rPr>
        <w:t xml:space="preserve">, </w:t>
      </w:r>
      <w:r>
        <w:rPr>
          <w:noProof/>
        </w:rPr>
        <w:t>Nevada</w:t>
      </w:r>
      <w:r w:rsidR="00967F8A" w:rsidRPr="008479D9">
        <w:rPr>
          <w:noProof/>
        </w:rPr>
        <w:t xml:space="preserve">, </w:t>
      </w:r>
      <w:r>
        <w:rPr>
          <w:noProof/>
        </w:rPr>
        <w:t>27</w:t>
      </w:r>
      <w:r w:rsidR="007B58A5" w:rsidRPr="007B58A5">
        <w:rPr>
          <w:noProof/>
          <w:vertAlign w:val="superscript"/>
        </w:rPr>
        <w:t>th</w:t>
      </w:r>
      <w:r>
        <w:rPr>
          <w:noProof/>
          <w:vertAlign w:val="superscript"/>
        </w:rPr>
        <w:t xml:space="preserve"> </w:t>
      </w:r>
      <w:r>
        <w:rPr>
          <w:noProof/>
        </w:rPr>
        <w:t>November</w:t>
      </w:r>
      <w:r>
        <w:rPr>
          <w:noProof/>
          <w:vertAlign w:val="superscript"/>
        </w:rPr>
        <w:t xml:space="preserve"> </w:t>
      </w:r>
      <w:r w:rsidRPr="008479D9">
        <w:rPr>
          <w:noProof/>
        </w:rPr>
        <w:t>–</w:t>
      </w:r>
      <w:r w:rsidR="00967F8A" w:rsidRPr="008479D9">
        <w:rPr>
          <w:noProof/>
        </w:rPr>
        <w:t xml:space="preserve"> </w:t>
      </w:r>
      <w:r w:rsidR="007B58A5">
        <w:rPr>
          <w:noProof/>
        </w:rPr>
        <w:t>1</w:t>
      </w:r>
      <w:r>
        <w:rPr>
          <w:noProof/>
          <w:vertAlign w:val="superscript"/>
        </w:rPr>
        <w:t>st</w:t>
      </w:r>
      <w:r w:rsidR="007B58A5" w:rsidRPr="008479D9">
        <w:rPr>
          <w:noProof/>
        </w:rPr>
        <w:t xml:space="preserve"> </w:t>
      </w:r>
      <w:r>
        <w:rPr>
          <w:noProof/>
        </w:rPr>
        <w:t>Decem</w:t>
      </w:r>
      <w:r w:rsidR="007B58A5">
        <w:rPr>
          <w:noProof/>
        </w:rPr>
        <w:t>ber</w:t>
      </w:r>
      <w:r w:rsidR="007B58A5" w:rsidRPr="008479D9">
        <w:rPr>
          <w:noProof/>
        </w:rPr>
        <w:t xml:space="preserve"> </w:t>
      </w:r>
      <w:r w:rsidR="00967F8A" w:rsidRPr="008479D9">
        <w:rPr>
          <w:noProof/>
        </w:rPr>
        <w:t>2017</w:t>
      </w:r>
    </w:p>
    <w:p w14:paraId="3BAF7A0E" w14:textId="77777777" w:rsidR="00A176D6" w:rsidRPr="00967F8A" w:rsidRDefault="00A176D6" w:rsidP="00A176D6">
      <w:pPr>
        <w:pStyle w:val="3GPPHeader"/>
      </w:pPr>
    </w:p>
    <w:p w14:paraId="55EA3377" w14:textId="034BCEFF" w:rsidR="00A176D6" w:rsidRPr="00AB2AD5" w:rsidRDefault="00A176D6" w:rsidP="00A176D6">
      <w:pPr>
        <w:pStyle w:val="3GPPHeader"/>
        <w:rPr>
          <w:sz w:val="22"/>
          <w:szCs w:val="22"/>
          <w:lang w:val="en-US"/>
        </w:rPr>
      </w:pPr>
      <w:r w:rsidRPr="00373180">
        <w:rPr>
          <w:sz w:val="22"/>
          <w:szCs w:val="22"/>
          <w:lang w:val="en-US"/>
        </w:rPr>
        <w:t>Agenda Item:</w:t>
      </w:r>
      <w:r w:rsidRPr="00373180">
        <w:rPr>
          <w:sz w:val="22"/>
          <w:szCs w:val="22"/>
          <w:lang w:val="en-US"/>
        </w:rPr>
        <w:tab/>
      </w:r>
      <w:r w:rsidR="00794D9C">
        <w:rPr>
          <w:sz w:val="22"/>
          <w:szCs w:val="22"/>
          <w:lang w:val="en-US"/>
        </w:rPr>
        <w:t>10.2.9</w:t>
      </w:r>
    </w:p>
    <w:p w14:paraId="14C547E8" w14:textId="77777777" w:rsidR="00A176D6" w:rsidRPr="00CE0424" w:rsidRDefault="00A176D6" w:rsidP="00A176D6">
      <w:pPr>
        <w:pStyle w:val="3GPPHeader"/>
        <w:rPr>
          <w:sz w:val="22"/>
          <w:szCs w:val="22"/>
        </w:rPr>
      </w:pPr>
      <w:r>
        <w:rPr>
          <w:sz w:val="22"/>
          <w:szCs w:val="22"/>
        </w:rPr>
        <w:t>Source:</w:t>
      </w:r>
      <w:r w:rsidRPr="00CE0424">
        <w:rPr>
          <w:sz w:val="22"/>
          <w:szCs w:val="22"/>
        </w:rPr>
        <w:tab/>
        <w:t>Ericsson</w:t>
      </w:r>
    </w:p>
    <w:p w14:paraId="6F64436E" w14:textId="5C2126C5" w:rsidR="00A176D6" w:rsidRPr="00CE0424" w:rsidRDefault="00A176D6" w:rsidP="00A176D6">
      <w:pPr>
        <w:pStyle w:val="3GPPHeader"/>
        <w:rPr>
          <w:sz w:val="22"/>
          <w:szCs w:val="22"/>
        </w:rPr>
      </w:pPr>
      <w:r>
        <w:rPr>
          <w:sz w:val="22"/>
          <w:szCs w:val="22"/>
        </w:rPr>
        <w:t>Title:</w:t>
      </w:r>
      <w:r w:rsidRPr="00CE0424">
        <w:rPr>
          <w:sz w:val="22"/>
          <w:szCs w:val="22"/>
        </w:rPr>
        <w:tab/>
      </w:r>
      <w:r w:rsidR="009D2AD4">
        <w:t>ANR framework in NR</w:t>
      </w:r>
    </w:p>
    <w:p w14:paraId="747BBCFB" w14:textId="77777777" w:rsidR="00A176D6" w:rsidRPr="00CE0424" w:rsidRDefault="00A176D6" w:rsidP="00A176D6">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78830BFB" w14:textId="77777777" w:rsidR="00E90E49" w:rsidRDefault="00E90E49" w:rsidP="00CE0424">
      <w:pPr>
        <w:pStyle w:val="Heading1"/>
      </w:pPr>
      <w:r w:rsidRPr="00CE0424">
        <w:t>Introduction</w:t>
      </w:r>
    </w:p>
    <w:p w14:paraId="32660182" w14:textId="6347B891" w:rsidR="0055719E" w:rsidRDefault="008F7ADA" w:rsidP="0055719E">
      <w:pPr>
        <w:pStyle w:val="BodyText"/>
      </w:pPr>
      <w:r>
        <w:t xml:space="preserve">Since the first release of LTE, </w:t>
      </w:r>
      <w:r w:rsidR="0055719E">
        <w:t>Automatic Neighbour Relation (ANR) functionality</w:t>
      </w:r>
      <w:r>
        <w:t xml:space="preserve"> has been introduced</w:t>
      </w:r>
      <w:r w:rsidR="0055719E">
        <w:t xml:space="preserve"> to automatically generate</w:t>
      </w:r>
      <w:r w:rsidR="00BF6459">
        <w:t xml:space="preserve"> the</w:t>
      </w:r>
      <w:r w:rsidR="0055719E">
        <w:t xml:space="preserve"> relations between </w:t>
      </w:r>
      <w:r w:rsidR="00A503B4">
        <w:t>eNodeBs</w:t>
      </w:r>
      <w:r w:rsidR="0055719E">
        <w:t xml:space="preserve">. Such relations are used to establish connections between </w:t>
      </w:r>
      <w:r w:rsidR="00A503B4">
        <w:t>eNodeBs</w:t>
      </w:r>
      <w:r w:rsidR="0055719E">
        <w:t xml:space="preserve">, support mobility, load balancing, dual connectivity, etc., and ANR is seen as significantly reducing the planning and operation costs for operators [2]. Therefore, it is our understanding that </w:t>
      </w:r>
      <w:r w:rsidR="00A503B4">
        <w:t xml:space="preserve">ANR </w:t>
      </w:r>
      <w:r w:rsidR="0055719E">
        <w:t>will continue to be</w:t>
      </w:r>
      <w:r w:rsidR="00524688">
        <w:t xml:space="preserve"> an</w:t>
      </w:r>
      <w:r w:rsidR="0055719E">
        <w:t xml:space="preserve"> important</w:t>
      </w:r>
      <w:r w:rsidR="00524688">
        <w:t xml:space="preserve"> feature</w:t>
      </w:r>
      <w:r w:rsidR="0055719E">
        <w:t xml:space="preserve"> in NR.</w:t>
      </w:r>
      <w:r w:rsidR="008A7912">
        <w:t xml:space="preserve"> </w:t>
      </w:r>
      <w:r w:rsidR="0055719E">
        <w:t>One can expect that the challenging NR requirements will result in an even higher emphasis on the need for seamless mobility than in legacy RATs, which further increases the importance of automatic relation establishment in NR. In addition, an extensive use of beamforming, together with a lean design of NR will bring new challenges and additional scope to the relation management.</w:t>
      </w:r>
    </w:p>
    <w:p w14:paraId="36CA38F6" w14:textId="35A5FD0A" w:rsidR="0040200D" w:rsidRDefault="0040200D" w:rsidP="0055719E">
      <w:pPr>
        <w:pStyle w:val="BodyText"/>
      </w:pPr>
      <w:r>
        <w:rPr>
          <w:noProof/>
          <w:lang w:val="sv-SE" w:eastAsia="sv-SE"/>
        </w:rPr>
        <mc:AlternateContent>
          <mc:Choice Requires="wps">
            <w:drawing>
              <wp:anchor distT="0" distB="0" distL="114300" distR="114300" simplePos="0" relativeHeight="251659264" behindDoc="0" locked="0" layoutInCell="1" allowOverlap="1" wp14:anchorId="2C2E3728" wp14:editId="11CA0D49">
                <wp:simplePos x="0" y="0"/>
                <wp:positionH relativeFrom="margin">
                  <wp:align>left</wp:align>
                </wp:positionH>
                <wp:positionV relativeFrom="paragraph">
                  <wp:posOffset>201930</wp:posOffset>
                </wp:positionV>
                <wp:extent cx="6057900" cy="1828800"/>
                <wp:effectExtent l="0" t="0" r="19050" b="14605"/>
                <wp:wrapSquare wrapText="bothSides"/>
                <wp:docPr id="3" name="Text Box 3"/>
                <wp:cNvGraphicFramePr/>
                <a:graphic xmlns:a="http://schemas.openxmlformats.org/drawingml/2006/main">
                  <a:graphicData uri="http://schemas.microsoft.com/office/word/2010/wordprocessingShape">
                    <wps:wsp>
                      <wps:cNvSpPr txBox="1"/>
                      <wps:spPr>
                        <a:xfrm>
                          <a:off x="0" y="0"/>
                          <a:ext cx="6057900" cy="1828800"/>
                        </a:xfrm>
                        <a:prstGeom prst="rect">
                          <a:avLst/>
                        </a:prstGeom>
                        <a:noFill/>
                        <a:ln w="6350">
                          <a:solidFill>
                            <a:prstClr val="black"/>
                          </a:solidFill>
                        </a:ln>
                      </wps:spPr>
                      <wps:txbx>
                        <w:txbxContent>
                          <w:p w14:paraId="7EC8A787" w14:textId="77777777" w:rsidR="0040200D" w:rsidRPr="00E45385" w:rsidRDefault="0040200D" w:rsidP="00C47863">
                            <w:pPr>
                              <w:pStyle w:val="BodyText"/>
                              <w:numPr>
                                <w:ilvl w:val="0"/>
                                <w:numId w:val="39"/>
                              </w:numPr>
                              <w:rPr>
                                <w:rFonts w:eastAsia="MS Mincho"/>
                                <w:lang w:val="en-US" w:eastAsia="ja-JP"/>
                              </w:rPr>
                            </w:pPr>
                            <w:r>
                              <w:rPr>
                                <w:rFonts w:eastAsia="MS Mincho" w:hint="eastAsia"/>
                                <w:lang w:val="en-US" w:eastAsia="ja-JP"/>
                              </w:rPr>
                              <w:t>Detection of neighbor cell for measurement is based on NR-SS</w:t>
                            </w:r>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C2E3728" id="_x0000_t202" coordsize="21600,21600" o:spt="202" path="m,l,21600r21600,l21600,xe">
                <v:stroke joinstyle="miter"/>
                <v:path gradientshapeok="t" o:connecttype="rect"/>
              </v:shapetype>
              <v:shape id="Text Box 3" o:spid="_x0000_s1026" type="#_x0000_t202" style="position:absolute;left:0;text-align:left;margin-left:0;margin-top:15.9pt;width:477pt;height:2in;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" filled="f" strokeweight=".5pt">
                <v:textbox style="mso-fit-shape-to-text:t">
                  <w:txbxContent>
                    <w:p w14:paraId="7EC8A787" w14:textId="77777777" w:rsidR="0040200D" w:rsidRPr="00E45385" w:rsidRDefault="0040200D" w:rsidP="00C47863">
                      <w:pPr>
                        <w:pStyle w:val="BodyText"/>
                        <w:numPr>
                          <w:ilvl w:val="0"/>
                          <w:numId w:val="39"/>
                        </w:numPr>
                        <w:rPr>
                          <w:rFonts w:eastAsia="MS Mincho"/>
                          <w:lang w:val="en-US" w:eastAsia="ja-JP"/>
                        </w:rPr>
                      </w:pPr>
                      <w:r>
                        <w:rPr>
                          <w:rFonts w:eastAsia="MS Mincho" w:hint="eastAsia"/>
                          <w:lang w:val="en-US" w:eastAsia="ja-JP"/>
                        </w:rPr>
                        <w:t>Detection of neighbor cell for measurement is based on NR-SS</w:t>
                      </w:r>
                      <w:r>
                        <w:t xml:space="preserve"> </w:t>
                      </w:r>
                    </w:p>
                  </w:txbxContent>
                </v:textbox>
                <w10:wrap type="square" anchorx="margin"/>
              </v:shape>
            </w:pict>
          </mc:Fallback>
        </mc:AlternateContent>
      </w:r>
      <w:r>
        <w:t>In RAN1#88, it was agreed that;</w:t>
      </w:r>
    </w:p>
    <w:p w14:paraId="7FC049C7" w14:textId="77777777" w:rsidR="0040200D" w:rsidRDefault="0040200D" w:rsidP="00081D62">
      <w:pPr>
        <w:pStyle w:val="BodyText"/>
      </w:pPr>
    </w:p>
    <w:p w14:paraId="2B033EF7" w14:textId="394925BA" w:rsidR="007560C0" w:rsidRDefault="0040200D" w:rsidP="00081D62">
      <w:pPr>
        <w:pStyle w:val="BodyText"/>
      </w:pPr>
      <w:r>
        <w:t xml:space="preserve">In this </w:t>
      </w:r>
      <w:r w:rsidR="0055719E">
        <w:t>paper</w:t>
      </w:r>
      <w:r>
        <w:t>, further details of how the UE could aid the neighbour relation establishment process is provided and scenarios wherein the UE fails to identify a neighbouring cell is provided</w:t>
      </w:r>
      <w:r w:rsidR="0055719E">
        <w:t>.</w:t>
      </w:r>
    </w:p>
    <w:p w14:paraId="1281B722" w14:textId="16545B13" w:rsidR="006425C6" w:rsidRDefault="004000E8" w:rsidP="006425C6">
      <w:pPr>
        <w:pStyle w:val="Heading1"/>
      </w:pPr>
      <w:bookmarkStart w:id="1" w:name="_Ref178064866"/>
      <w:r w:rsidRPr="00CE0424">
        <w:t>Discussion</w:t>
      </w:r>
      <w:bookmarkEnd w:id="1"/>
    </w:p>
    <w:p w14:paraId="17147B78" w14:textId="110EEE44" w:rsidR="00AA0139" w:rsidRPr="00AA0139" w:rsidRDefault="007A164C" w:rsidP="00AC5FFA">
      <w:pPr>
        <w:pStyle w:val="Heading2"/>
      </w:pPr>
      <w:r>
        <w:t>I</w:t>
      </w:r>
      <w:r w:rsidR="00AA0139">
        <w:t xml:space="preserve">dentifiers </w:t>
      </w:r>
      <w:r>
        <w:t xml:space="preserve">for ANR </w:t>
      </w:r>
      <w:r w:rsidR="00622502">
        <w:t>establishment</w:t>
      </w:r>
    </w:p>
    <w:p w14:paraId="58D13EF9" w14:textId="5BE2C1F4" w:rsidR="0055719E" w:rsidRDefault="0055719E" w:rsidP="0055719E">
      <w:pPr>
        <w:pStyle w:val="BodyText"/>
      </w:pPr>
      <w:r>
        <w:t>In LTE, a UE detects cells based on their PSS/SSS, which encode a Physical Cell Identifier (PCI). An important property of these signals is that the UE autonomously detects the neighbour cell IDs from an acquired PSS/SSS, i.e., the network does not need to provide a neighbour cell list. UEs typically detect and measure neighbour cells by sampling a short time window (e.g. 5 ms) on the target frequency (which may be the same or different from serving) and search (possibly offline) for PSS/SSS occurrences within that sample. For each detected PSS/SSS, the UE can also perform a measurement using the CRS corresponding to the PCI. The result of that action is a list of neighbour cell IDs and corresponding measurement sample.</w:t>
      </w:r>
    </w:p>
    <w:p w14:paraId="1239789F" w14:textId="6719FCAA" w:rsidR="0055719E" w:rsidRPr="00A87C47" w:rsidRDefault="0055719E" w:rsidP="0055719E">
      <w:pPr>
        <w:pStyle w:val="BodyText"/>
        <w:rPr>
          <w:b/>
        </w:rPr>
      </w:pPr>
      <w:r>
        <w:t>Once the UE perform</w:t>
      </w:r>
      <w:r w:rsidR="007A164C">
        <w:t>s</w:t>
      </w:r>
      <w:r>
        <w:t xml:space="preserve"> measurements, mobility events can trigger the transmission of measurement reports. Based on these reports the serving eNB is able to identify that a given PCI belongs to a neighbour eNB in order to trigger a handover preparation procedure. In order to do that, the serving eNB needs to maintain a </w:t>
      </w:r>
      <w:r w:rsidR="00EB2EB5">
        <w:t>N</w:t>
      </w:r>
      <w:r>
        <w:t xml:space="preserve">eighbour </w:t>
      </w:r>
      <w:r w:rsidR="00EB2EB5">
        <w:t>Relation Table</w:t>
      </w:r>
      <w:r>
        <w:t xml:space="preserve"> that </w:t>
      </w:r>
      <w:r w:rsidR="00A87C47">
        <w:t xml:space="preserve">maps </w:t>
      </w:r>
      <w:r>
        <w:t>local</w:t>
      </w:r>
      <w:r w:rsidR="00EB2EB5">
        <w:t>ly</w:t>
      </w:r>
      <w:r>
        <w:t xml:space="preserve"> unique identifiers, i.e. the PCIs in LTE, with global</w:t>
      </w:r>
      <w:r w:rsidR="00EB2EB5">
        <w:t>ly</w:t>
      </w:r>
      <w:r>
        <w:t xml:space="preserve"> unique identifiers, </w:t>
      </w:r>
      <w:r w:rsidR="00F67A15">
        <w:t xml:space="preserve">i.e. </w:t>
      </w:r>
      <w:r>
        <w:t>the E</w:t>
      </w:r>
      <w:r w:rsidR="00EA78D3">
        <w:t>-UTRAN</w:t>
      </w:r>
      <w:r>
        <w:t xml:space="preserve"> Cell Global identifier (E-CGI).</w:t>
      </w:r>
      <w:r w:rsidR="009D2B94">
        <w:t xml:space="preserve"> E-CGI is defined in LTE as a combination of PLMN ID (Combination of country code and network code) and ECI (combination of eNB ID and cell ID).</w:t>
      </w:r>
    </w:p>
    <w:p w14:paraId="292D4C8C" w14:textId="7A500616" w:rsidR="0055719E" w:rsidRPr="004158C2" w:rsidRDefault="00D247FF" w:rsidP="0055719E">
      <w:pPr>
        <w:pStyle w:val="BodyText"/>
      </w:pPr>
      <w:r w:rsidRPr="004158C2">
        <w:t xml:space="preserve">The procedure is </w:t>
      </w:r>
      <w:r>
        <w:t xml:space="preserve">illustrated in </w:t>
      </w:r>
      <w:r>
        <w:fldChar w:fldCharType="begin"/>
      </w:r>
      <w:r>
        <w:instrText xml:space="preserve"> REF _Ref462997797 \h </w:instrText>
      </w:r>
      <w:r>
        <w:fldChar w:fldCharType="separate"/>
      </w:r>
      <w:r>
        <w:t xml:space="preserve">Figure </w:t>
      </w:r>
      <w:r>
        <w:rPr>
          <w:noProof/>
        </w:rPr>
        <w:t>1</w:t>
      </w:r>
      <w:r>
        <w:fldChar w:fldCharType="end"/>
      </w:r>
      <w:r>
        <w:t>. In step 1, the UE sends a measurement report to the serving eNB, containing the PCI of cell B. The eNB then instructs the UE to read the ECGI,</w:t>
      </w:r>
      <w:r w:rsidRPr="00D247FF">
        <w:t xml:space="preserve"> the TAC and all available PLMN ID(s)</w:t>
      </w:r>
      <w:r>
        <w:t xml:space="preserve"> of cell B. </w:t>
      </w:r>
      <w:r w:rsidR="009D2B94">
        <w:t xml:space="preserve">The neighbour cell broadcasts its PLMN IDs, TAC etc. in the SIB1 message. </w:t>
      </w:r>
      <w:r>
        <w:t>After measuring</w:t>
      </w:r>
      <w:r w:rsidR="009D2B94">
        <w:t xml:space="preserve"> these values</w:t>
      </w:r>
      <w:r>
        <w:t xml:space="preserve">, the UE reports the detected ECGI to the serving eNB, and the eNB decides </w:t>
      </w:r>
      <w:r w:rsidR="0069133C">
        <w:t>to add this neighbour relation. The eNB can use the PCI and ECGI to lookup a transport layer address to the new eNB, update the Neighbour Relation list, and, if needed, setup a ne</w:t>
      </w:r>
      <w:r w:rsidR="004158C2">
        <w:t>w X2 interface towards this eNB</w:t>
      </w:r>
      <w:r w:rsidR="0069133C">
        <w:t xml:space="preserve"> [1]</w:t>
      </w:r>
      <w:r w:rsidR="004158C2">
        <w:t>.</w:t>
      </w:r>
    </w:p>
    <w:p w14:paraId="298AAF96" w14:textId="2C185D42" w:rsidR="0055719E" w:rsidRDefault="00D247FF" w:rsidP="004158C2">
      <w:pPr>
        <w:pStyle w:val="BodyText"/>
        <w:jc w:val="center"/>
        <w:rPr>
          <w:b/>
        </w:rPr>
      </w:pPr>
      <w:r w:rsidRPr="005132EF">
        <w:rPr>
          <w:noProof/>
          <w:lang w:val="sv-SE" w:eastAsia="sv-SE"/>
        </w:rPr>
        <w:lastRenderedPageBreak/>
        <w:drawing>
          <wp:inline distT="0" distB="0" distL="0" distR="0" wp14:anchorId="1C5A7A43" wp14:editId="54757E3B">
            <wp:extent cx="4285756" cy="253591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95" cy="2536229"/>
                    </a:xfrm>
                    <a:prstGeom prst="rect">
                      <a:avLst/>
                    </a:prstGeom>
                    <a:noFill/>
                    <a:ln>
                      <a:noFill/>
                    </a:ln>
                  </pic:spPr>
                </pic:pic>
              </a:graphicData>
            </a:graphic>
          </wp:inline>
        </w:drawing>
      </w:r>
    </w:p>
    <w:p w14:paraId="1CA0D270" w14:textId="6D3D0E07" w:rsidR="00D247FF" w:rsidRPr="004158C2" w:rsidRDefault="00D247FF" w:rsidP="004158C2">
      <w:pPr>
        <w:pStyle w:val="Caption"/>
        <w:rPr>
          <w:b w:val="0"/>
          <w:lang w:val="en-US"/>
        </w:rPr>
      </w:pPr>
      <w:bookmarkStart w:id="2" w:name="_Ref462997797"/>
      <w:r>
        <w:t xml:space="preserve">Figure </w:t>
      </w:r>
      <w:r>
        <w:fldChar w:fldCharType="begin"/>
      </w:r>
      <w:r>
        <w:instrText xml:space="preserve"> SEQ Figure \* ARABIC </w:instrText>
      </w:r>
      <w:r>
        <w:fldChar w:fldCharType="separate"/>
      </w:r>
      <w:r>
        <w:rPr>
          <w:noProof/>
        </w:rPr>
        <w:t>1</w:t>
      </w:r>
      <w:r>
        <w:fldChar w:fldCharType="end"/>
      </w:r>
      <w:bookmarkEnd w:id="2"/>
      <w:r>
        <w:t>. Automatic Neighbour Relation Function in LTE [1]</w:t>
      </w:r>
    </w:p>
    <w:p w14:paraId="52B4468D" w14:textId="77777777" w:rsidR="0055719E" w:rsidRPr="00A87C47" w:rsidRDefault="0055719E" w:rsidP="0055719E">
      <w:pPr>
        <w:rPr>
          <w:b/>
        </w:rPr>
      </w:pPr>
    </w:p>
    <w:p w14:paraId="1DAEA4D9" w14:textId="34B4E650" w:rsidR="00A87C47" w:rsidRDefault="00A87C47" w:rsidP="0055719E">
      <w:pPr>
        <w:pStyle w:val="BodyText"/>
        <w:numPr>
          <w:ilvl w:val="0"/>
          <w:numId w:val="25"/>
        </w:numPr>
        <w:ind w:left="1560" w:hanging="1560"/>
        <w:rPr>
          <w:b/>
        </w:rPr>
      </w:pPr>
      <w:r w:rsidRPr="00A87C47">
        <w:rPr>
          <w:b/>
        </w:rPr>
        <w:t>In LTE</w:t>
      </w:r>
      <w:r w:rsidR="0055719E" w:rsidRPr="00A87C47">
        <w:rPr>
          <w:b/>
        </w:rPr>
        <w:t xml:space="preserve">, </w:t>
      </w:r>
      <w:r w:rsidRPr="00A87C47">
        <w:rPr>
          <w:b/>
        </w:rPr>
        <w:t>the UE reports to the serving eNB measurement reports associated to local</w:t>
      </w:r>
      <w:r w:rsidR="00AA0139">
        <w:rPr>
          <w:b/>
        </w:rPr>
        <w:t>ly</w:t>
      </w:r>
      <w:r w:rsidRPr="00A87C47">
        <w:rPr>
          <w:b/>
        </w:rPr>
        <w:t xml:space="preserve"> unique identifiers (e.g. PCIs).</w:t>
      </w:r>
    </w:p>
    <w:p w14:paraId="7F761ED6" w14:textId="330302B8" w:rsidR="00CB27CF" w:rsidRPr="00CB27CF" w:rsidRDefault="00517DC6">
      <w:pPr>
        <w:pStyle w:val="BodyText"/>
        <w:numPr>
          <w:ilvl w:val="0"/>
          <w:numId w:val="25"/>
        </w:numPr>
        <w:ind w:left="1560" w:hanging="1560"/>
        <w:rPr>
          <w:b/>
        </w:rPr>
      </w:pPr>
      <w:r>
        <w:rPr>
          <w:b/>
        </w:rPr>
        <w:t xml:space="preserve">For handover decisions based on UE reporting of local IDs, a </w:t>
      </w:r>
      <w:r w:rsidR="00A87C47">
        <w:rPr>
          <w:b/>
        </w:rPr>
        <w:t>N</w:t>
      </w:r>
      <w:r w:rsidR="00A87C47" w:rsidRPr="00A87C47">
        <w:rPr>
          <w:b/>
        </w:rPr>
        <w:t xml:space="preserve">eighbour </w:t>
      </w:r>
      <w:r>
        <w:rPr>
          <w:b/>
        </w:rPr>
        <w:t>R</w:t>
      </w:r>
      <w:r w:rsidR="00A87C47" w:rsidRPr="00A87C47">
        <w:rPr>
          <w:b/>
        </w:rPr>
        <w:t>elation</w:t>
      </w:r>
      <w:r>
        <w:rPr>
          <w:b/>
        </w:rPr>
        <w:t xml:space="preserve"> Table</w:t>
      </w:r>
      <w:r w:rsidR="00A87C47" w:rsidRPr="00A87C47">
        <w:rPr>
          <w:b/>
        </w:rPr>
        <w:t xml:space="preserve"> </w:t>
      </w:r>
      <w:r>
        <w:rPr>
          <w:b/>
        </w:rPr>
        <w:t xml:space="preserve">(NRT) </w:t>
      </w:r>
      <w:r w:rsidR="00A87C47">
        <w:rPr>
          <w:b/>
        </w:rPr>
        <w:t>mapping local IDs to global IDs</w:t>
      </w:r>
      <w:r>
        <w:rPr>
          <w:b/>
        </w:rPr>
        <w:t xml:space="preserve"> </w:t>
      </w:r>
      <w:r w:rsidRPr="00A87C47">
        <w:rPr>
          <w:b/>
        </w:rPr>
        <w:t>(e.g. E-CGI)</w:t>
      </w:r>
      <w:r w:rsidR="00A87C47">
        <w:rPr>
          <w:b/>
        </w:rPr>
        <w:t xml:space="preserve"> </w:t>
      </w:r>
      <w:r>
        <w:rPr>
          <w:b/>
        </w:rPr>
        <w:t>is</w:t>
      </w:r>
      <w:r w:rsidR="00A87C47">
        <w:rPr>
          <w:b/>
        </w:rPr>
        <w:t xml:space="preserve"> necessary </w:t>
      </w:r>
      <w:r>
        <w:rPr>
          <w:b/>
        </w:rPr>
        <w:t>to identify the target eNB</w:t>
      </w:r>
      <w:r w:rsidR="00F67A15">
        <w:rPr>
          <w:b/>
        </w:rPr>
        <w:t xml:space="preserve"> </w:t>
      </w:r>
      <w:r w:rsidR="00A87C47" w:rsidRPr="00A87C47">
        <w:rPr>
          <w:b/>
        </w:rPr>
        <w:t>in order to send a handover preparation and/or a handover request.</w:t>
      </w:r>
    </w:p>
    <w:p w14:paraId="718A002F" w14:textId="3CE0E644" w:rsidR="00CB27CF" w:rsidRDefault="00CB27CF" w:rsidP="00CB27CF">
      <w:pPr>
        <w:pStyle w:val="BodyText"/>
        <w:numPr>
          <w:ilvl w:val="0"/>
          <w:numId w:val="25"/>
        </w:numPr>
        <w:ind w:left="1560" w:hanging="1560"/>
        <w:rPr>
          <w:b/>
        </w:rPr>
      </w:pPr>
      <w:r w:rsidRPr="00A87C47">
        <w:rPr>
          <w:b/>
        </w:rPr>
        <w:t xml:space="preserve">In LTE, </w:t>
      </w:r>
      <w:r>
        <w:rPr>
          <w:b/>
        </w:rPr>
        <w:t xml:space="preserve">a serving eNB can request the </w:t>
      </w:r>
      <w:r w:rsidRPr="00A87C47">
        <w:rPr>
          <w:b/>
        </w:rPr>
        <w:t xml:space="preserve">UE </w:t>
      </w:r>
      <w:r>
        <w:rPr>
          <w:b/>
        </w:rPr>
        <w:t>to acquire a global identifier (e.g. ECGI)</w:t>
      </w:r>
      <w:r w:rsidR="00B756D5">
        <w:rPr>
          <w:b/>
        </w:rPr>
        <w:t>, TAC, and all available PLMN ID(s)</w:t>
      </w:r>
      <w:r>
        <w:rPr>
          <w:b/>
        </w:rPr>
        <w:t xml:space="preserve"> associated to a previously reported local identifier (PCI).</w:t>
      </w:r>
    </w:p>
    <w:p w14:paraId="1B8AE212" w14:textId="679714FC" w:rsidR="00CB27CF" w:rsidRPr="00CB27CF" w:rsidRDefault="00CB27CF">
      <w:pPr>
        <w:pStyle w:val="BodyText"/>
        <w:numPr>
          <w:ilvl w:val="0"/>
          <w:numId w:val="25"/>
        </w:numPr>
        <w:ind w:left="1560" w:hanging="1560"/>
        <w:rPr>
          <w:b/>
        </w:rPr>
      </w:pPr>
      <w:r>
        <w:rPr>
          <w:b/>
        </w:rPr>
        <w:t xml:space="preserve">In LTE, a globally unique identifier (ECGI) is broadcasted </w:t>
      </w:r>
      <w:r w:rsidR="0014650D">
        <w:rPr>
          <w:b/>
        </w:rPr>
        <w:t xml:space="preserve">in SIB1 </w:t>
      </w:r>
      <w:r>
        <w:rPr>
          <w:b/>
        </w:rPr>
        <w:t>and can be associated to a locally unique identifier (PCI).</w:t>
      </w:r>
    </w:p>
    <w:p w14:paraId="14FCF17B" w14:textId="77777777" w:rsidR="00AD1211" w:rsidRDefault="00AD1211" w:rsidP="00AD1211">
      <w:pPr>
        <w:pStyle w:val="BodyText"/>
      </w:pPr>
      <w:r>
        <w:t>In LTE, this Global ID, the ECGI, is not necessary as often as the PCI. Therefore, it is transmitted in SIB1 every 80 ms while the PCI is transmitted every 5ms.</w:t>
      </w:r>
    </w:p>
    <w:p w14:paraId="46C8C3B1" w14:textId="77777777" w:rsidR="00AD1211" w:rsidRPr="00D3176C" w:rsidRDefault="00AD1211" w:rsidP="00AD1211">
      <w:pPr>
        <w:pStyle w:val="BodyText"/>
        <w:numPr>
          <w:ilvl w:val="0"/>
          <w:numId w:val="25"/>
        </w:numPr>
        <w:ind w:left="1560" w:hanging="1560"/>
        <w:rPr>
          <w:b/>
        </w:rPr>
      </w:pPr>
      <w:r>
        <w:rPr>
          <w:b/>
        </w:rPr>
        <w:t>In LTE, a globally unique identifier (ECGI) is broadcasted with a larger periodicity than the locally unique identifier (PCI).</w:t>
      </w:r>
    </w:p>
    <w:p w14:paraId="11870336" w14:textId="5CB13A2D" w:rsidR="007075A7" w:rsidRDefault="00A87C47" w:rsidP="00A87C47">
      <w:pPr>
        <w:pStyle w:val="BodyText"/>
      </w:pPr>
      <w:r>
        <w:t>In RAN2</w:t>
      </w:r>
      <w:r w:rsidR="00BB4C80">
        <w:t>#97</w:t>
      </w:r>
      <w:r w:rsidR="007075A7">
        <w:t xml:space="preserve"> NR meeting in </w:t>
      </w:r>
      <w:r w:rsidR="00BB4C80">
        <w:t>Athens</w:t>
      </w:r>
      <w:r>
        <w:t xml:space="preserve">, </w:t>
      </w:r>
      <w:r w:rsidR="007075A7">
        <w:t xml:space="preserve">it was noted that </w:t>
      </w:r>
      <w:r w:rsidR="00BB4C80">
        <w:t xml:space="preserve">an RRC_CONNECTED UE should be able to perform RRM measurements on </w:t>
      </w:r>
      <w:r w:rsidR="007A164C">
        <w:t xml:space="preserve">the so-called </w:t>
      </w:r>
      <w:r w:rsidR="00BB4C80">
        <w:t>IDLE RS</w:t>
      </w:r>
      <w:r w:rsidR="007A164C">
        <w:t>, later renamed to an NR-SS Block.</w:t>
      </w:r>
      <w:r w:rsidR="007A164C" w:rsidDel="007A164C">
        <w:t xml:space="preserve"> </w:t>
      </w:r>
    </w:p>
    <w:p w14:paraId="1B956E65" w14:textId="7621C890" w:rsidR="007075A7" w:rsidRDefault="007075A7" w:rsidP="00A87C47">
      <w:pPr>
        <w:pStyle w:val="BodyText"/>
      </w:pPr>
      <w:r>
        <w:rPr>
          <w:noProof/>
          <w:lang w:val="sv-SE" w:eastAsia="sv-SE"/>
        </w:rPr>
        <mc:AlternateContent>
          <mc:Choice Requires="wps">
            <w:drawing>
              <wp:anchor distT="0" distB="0" distL="114300" distR="114300" simplePos="0" relativeHeight="251657216" behindDoc="0" locked="0" layoutInCell="1" allowOverlap="1" wp14:anchorId="09182CDC" wp14:editId="3C3CED56">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9828BB7" w14:textId="4351F07F" w:rsidR="007075A7" w:rsidRPr="0010713C" w:rsidRDefault="00BB4C80" w:rsidP="00C47863">
                            <w:pPr>
                              <w:tabs>
                                <w:tab w:val="left" w:pos="1622"/>
                              </w:tabs>
                              <w:spacing w:after="0"/>
                              <w:ind w:left="1259"/>
                              <w:rPr>
                                <w:rFonts w:eastAsia="MS Mincho"/>
                                <w:szCs w:val="24"/>
                                <w:lang w:eastAsia="ja-JP"/>
                              </w:rPr>
                            </w:pPr>
                            <w:r>
                              <w:t xml:space="preserve">An RRC_CONNECTED UE should be able to perform RRM measurements on always on IDLE RS (e.g. synchronization signal).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9182CDC" id="Text Box 1" o:spid="_x0000_s1027" type="#_x0000_t202" style="position:absolute;left:0;text-align:left;margin-left:0;margin-top:0;width:2in;height:2in;z-index:251657216;visibility:visible;mso-wrap-style:non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" filled="f" strokeweight=".5pt">
                <v:textbox style="mso-fit-shape-to-text:t">
                  <w:txbxContent>
                    <w:p w14:paraId="79828BB7" w14:textId="4351F07F" w:rsidR="007075A7" w:rsidRPr="0010713C" w:rsidRDefault="00BB4C80" w:rsidP="00C47863">
                      <w:pPr>
                        <w:tabs>
                          <w:tab w:val="left" w:pos="1622"/>
                        </w:tabs>
                        <w:spacing w:after="0"/>
                        <w:ind w:left="1259"/>
                        <w:rPr>
                          <w:rFonts w:eastAsia="MS Mincho"/>
                          <w:szCs w:val="24"/>
                          <w:lang w:eastAsia="ja-JP"/>
                        </w:rPr>
                      </w:pPr>
                      <w:r>
                        <w:t xml:space="preserve">An RRC_CONNECTED UE should be able to perform RRM measurements on always on IDLE RS (e.g. synchronization signal). </w:t>
                      </w:r>
                    </w:p>
                  </w:txbxContent>
                </v:textbox>
                <w10:wrap type="square"/>
              </v:shape>
            </w:pict>
          </mc:Fallback>
        </mc:AlternateContent>
      </w:r>
    </w:p>
    <w:p w14:paraId="6F1873BA" w14:textId="64F10680" w:rsidR="00BB4C80" w:rsidRDefault="007A164C" w:rsidP="00A87C47">
      <w:pPr>
        <w:pStyle w:val="BodyText"/>
      </w:pPr>
      <w:r>
        <w:t xml:space="preserve">The measurement reports based on SS Blocks including cell measurement results will likely be associated to local identifiers (like the LTE PCIs) </w:t>
      </w:r>
      <w:r w:rsidR="00BB4C80">
        <w:t>that the UE has measured.</w:t>
      </w:r>
      <w:r w:rsidR="00F94784">
        <w:t xml:space="preserve"> Based on such a measurement report, if the serving </w:t>
      </w:r>
      <w:r>
        <w:t xml:space="preserve">gNodeB </w:t>
      </w:r>
      <w:r w:rsidR="00F94784">
        <w:t>do</w:t>
      </w:r>
      <w:r>
        <w:t>es</w:t>
      </w:r>
      <w:r w:rsidR="00F94784">
        <w:t xml:space="preserve"> not </w:t>
      </w:r>
      <w:r>
        <w:t xml:space="preserve">recognize </w:t>
      </w:r>
      <w:r w:rsidR="00F94784">
        <w:t xml:space="preserve">the reported PCI in its neighbour relation list, then the serving </w:t>
      </w:r>
      <w:r>
        <w:t xml:space="preserve">gNodeB </w:t>
      </w:r>
      <w:r w:rsidR="00F94784">
        <w:t xml:space="preserve">could reuse the </w:t>
      </w:r>
      <w:r w:rsidR="008248BD" w:rsidRPr="0039042B">
        <w:t>globally unique identifier</w:t>
      </w:r>
      <w:r w:rsidR="00B756D5">
        <w:t>, TAC and PLMN ID(s)</w:t>
      </w:r>
      <w:r w:rsidR="00F94784">
        <w:t xml:space="preserve"> measurement and reporting procedure for the UE, as listed in LTE, for NR neighbour relation establishment also. </w:t>
      </w:r>
    </w:p>
    <w:p w14:paraId="5FC375ED" w14:textId="689A863E" w:rsidR="00E4782A" w:rsidRPr="003065F6" w:rsidRDefault="00BB4C80">
      <w:pPr>
        <w:pStyle w:val="BodyText"/>
        <w:numPr>
          <w:ilvl w:val="0"/>
          <w:numId w:val="25"/>
        </w:numPr>
        <w:ind w:left="1560" w:hanging="1560"/>
        <w:rPr>
          <w:b/>
        </w:rPr>
      </w:pPr>
      <w:r>
        <w:rPr>
          <w:b/>
        </w:rPr>
        <w:t xml:space="preserve">The RRM measurements on </w:t>
      </w:r>
      <w:r w:rsidR="007A164C">
        <w:rPr>
          <w:b/>
        </w:rPr>
        <w:t xml:space="preserve">SS Blocks </w:t>
      </w:r>
      <w:r>
        <w:rPr>
          <w:b/>
        </w:rPr>
        <w:t>are expected to be reported as per the measured PCI values by the UE</w:t>
      </w:r>
      <w:r w:rsidRPr="00A87C47">
        <w:rPr>
          <w:b/>
        </w:rPr>
        <w:t>.</w:t>
      </w:r>
    </w:p>
    <w:p w14:paraId="56F8416F" w14:textId="2C790932" w:rsidR="00F94784" w:rsidRDefault="00F94784" w:rsidP="00F94784">
      <w:pPr>
        <w:pStyle w:val="BodyText"/>
        <w:numPr>
          <w:ilvl w:val="0"/>
          <w:numId w:val="25"/>
        </w:numPr>
        <w:ind w:left="1560" w:hanging="1560"/>
        <w:rPr>
          <w:b/>
        </w:rPr>
      </w:pPr>
      <w:r>
        <w:rPr>
          <w:b/>
        </w:rPr>
        <w:t xml:space="preserve">The neighbour relation establishment procedure based on the UE reporting the </w:t>
      </w:r>
      <w:r w:rsidR="008248BD">
        <w:rPr>
          <w:b/>
        </w:rPr>
        <w:t>globally unique identifier</w:t>
      </w:r>
      <w:r w:rsidR="00B756D5">
        <w:rPr>
          <w:b/>
        </w:rPr>
        <w:t>, TAC and all available PLMN ID(s)</w:t>
      </w:r>
      <w:r>
        <w:rPr>
          <w:b/>
        </w:rPr>
        <w:t xml:space="preserve"> of the unknown cell as listed in LTE can be re-used for NR also</w:t>
      </w:r>
      <w:r w:rsidRPr="00A87C47">
        <w:rPr>
          <w:b/>
        </w:rPr>
        <w:t>.</w:t>
      </w:r>
    </w:p>
    <w:p w14:paraId="636D02DA" w14:textId="127482BA" w:rsidR="0014650D" w:rsidRPr="00C47863" w:rsidRDefault="0014650D" w:rsidP="00C47863">
      <w:pPr>
        <w:pStyle w:val="BodyText"/>
      </w:pPr>
      <w:r w:rsidRPr="00C47863">
        <w:t>It is our understanding that the</w:t>
      </w:r>
      <w:r>
        <w:t xml:space="preserve"> information required to derive the </w:t>
      </w:r>
      <w:r w:rsidR="00C81E56">
        <w:t xml:space="preserve">globally unique identifier, GID, </w:t>
      </w:r>
      <w:r>
        <w:t>are provided in NR as part of the SIB1 message as well.</w:t>
      </w:r>
      <w:r w:rsidR="00F7704B">
        <w:t xml:space="preserve"> </w:t>
      </w:r>
      <w:r w:rsidR="00C81E56">
        <w:t>However, this has not been agreed yet. It can be discussed further as to how is the GID is structured (number of bits, what sub-identifiers does it encompass in what position like PLMN ID, CID etc.) in NR and if it is of similar nature as ECGI of LTE or not.</w:t>
      </w:r>
      <w:r w:rsidR="00F7704B">
        <w:t xml:space="preserve"> </w:t>
      </w:r>
      <w:r w:rsidRPr="002176CE">
        <w:t xml:space="preserve"> </w:t>
      </w:r>
    </w:p>
    <w:p w14:paraId="2DC69903" w14:textId="76A9C1A9" w:rsidR="00C81E56" w:rsidRDefault="0014650D" w:rsidP="00C81E56">
      <w:pPr>
        <w:pStyle w:val="BodyText"/>
        <w:numPr>
          <w:ilvl w:val="0"/>
          <w:numId w:val="25"/>
        </w:numPr>
        <w:ind w:left="1560" w:hanging="1560"/>
        <w:rPr>
          <w:b/>
        </w:rPr>
      </w:pPr>
      <w:r>
        <w:rPr>
          <w:b/>
        </w:rPr>
        <w:t xml:space="preserve">The information elements </w:t>
      </w:r>
      <w:r w:rsidRPr="00C47863">
        <w:rPr>
          <w:b/>
        </w:rPr>
        <w:t xml:space="preserve">required to derive the </w:t>
      </w:r>
      <w:r w:rsidR="00C81E56">
        <w:rPr>
          <w:b/>
        </w:rPr>
        <w:t>Global Identifier, GID</w:t>
      </w:r>
      <w:r w:rsidRPr="00C47863">
        <w:rPr>
          <w:b/>
        </w:rPr>
        <w:t xml:space="preserve"> are provided in NR as </w:t>
      </w:r>
      <w:r>
        <w:rPr>
          <w:b/>
        </w:rPr>
        <w:t xml:space="preserve">expected to be </w:t>
      </w:r>
      <w:r w:rsidRPr="00C47863">
        <w:rPr>
          <w:b/>
        </w:rPr>
        <w:t>part of the SIB1 message</w:t>
      </w:r>
      <w:r>
        <w:rPr>
          <w:b/>
        </w:rPr>
        <w:t xml:space="preserve">.  </w:t>
      </w:r>
    </w:p>
    <w:p w14:paraId="6977782A" w14:textId="542F1E7C" w:rsidR="00C80623" w:rsidRDefault="00C80623" w:rsidP="00A15DFC">
      <w:pPr>
        <w:pStyle w:val="BodyText"/>
        <w:rPr>
          <w:b/>
        </w:rPr>
      </w:pPr>
    </w:p>
    <w:p w14:paraId="050012E1" w14:textId="4A6CFDB6" w:rsidR="00C80623" w:rsidRDefault="00C80623" w:rsidP="00C80623">
      <w:pPr>
        <w:pStyle w:val="BodyText"/>
      </w:pPr>
      <w:r>
        <w:t xml:space="preserve">In </w:t>
      </w:r>
      <w:r w:rsidRPr="00A336A5">
        <w:t xml:space="preserve">RAN WG2 #98-Ad Hoc </w:t>
      </w:r>
      <w:r>
        <w:t>meeting, it was agreed that the LTE inter-RAT ANR framework will be reused to cover NR.</w:t>
      </w:r>
    </w:p>
    <w:p w14:paraId="6EE0EDB8" w14:textId="77777777" w:rsidR="00C80623" w:rsidRDefault="00C80623" w:rsidP="00C80623">
      <w:pPr>
        <w:pStyle w:val="Doc-text2"/>
        <w:pBdr>
          <w:top w:val="single" w:sz="4" w:space="1" w:color="auto"/>
          <w:left w:val="single" w:sz="4" w:space="4" w:color="auto"/>
          <w:bottom w:val="single" w:sz="4" w:space="1" w:color="auto"/>
          <w:right w:val="single" w:sz="4" w:space="4" w:color="auto"/>
        </w:pBdr>
      </w:pPr>
      <w:r>
        <w:t>Agreements</w:t>
      </w:r>
    </w:p>
    <w:p w14:paraId="460C9D96" w14:textId="77777777" w:rsidR="00C80623" w:rsidRDefault="00C80623" w:rsidP="00C80623">
      <w:pPr>
        <w:pStyle w:val="Doc-text2"/>
        <w:pBdr>
          <w:top w:val="single" w:sz="4" w:space="1" w:color="auto"/>
          <w:left w:val="single" w:sz="4" w:space="4" w:color="auto"/>
          <w:bottom w:val="single" w:sz="4" w:space="1" w:color="auto"/>
          <w:right w:val="single" w:sz="4" w:space="4" w:color="auto"/>
        </w:pBdr>
      </w:pPr>
      <w:r>
        <w:t>1</w:t>
      </w:r>
      <w:r>
        <w:tab/>
        <w:t>LTE inter-RAT ANR framework is extended to cover NR (target to complete this at end of Rel-15, not December 2017)</w:t>
      </w:r>
    </w:p>
    <w:p w14:paraId="6D065323" w14:textId="77777777" w:rsidR="00C80623" w:rsidRDefault="00C80623" w:rsidP="00C80623">
      <w:pPr>
        <w:pStyle w:val="BodyText"/>
      </w:pPr>
    </w:p>
    <w:p w14:paraId="26B06924" w14:textId="2F558488" w:rsidR="00C80623" w:rsidRDefault="00C80623" w:rsidP="00C80623">
      <w:pPr>
        <w:pStyle w:val="BodyText"/>
      </w:pPr>
      <w:r>
        <w:t xml:space="preserve">In our view, the previous discussion is applicable to </w:t>
      </w:r>
      <w:r w:rsidRPr="00D56529">
        <w:t>both</w:t>
      </w:r>
      <w:r>
        <w:t xml:space="preserve"> EN-DC case, where E-UTRAN configures the UE to report information broadcasted by the NR cell whose PCI is unknown to the serving gNodeB (either for SCG addition or SCG change) and to NR Standalone case, where the NG-RAN configures the UE. In </w:t>
      </w:r>
      <w:r w:rsidRPr="00D56529">
        <w:t>R2-1710839</w:t>
      </w:r>
      <w:r>
        <w:t xml:space="preserve"> (</w:t>
      </w:r>
      <w:r w:rsidRPr="00D56529">
        <w:t>Summary of email discussion [99#32][NR] TP on RRM</w:t>
      </w:r>
      <w:r>
        <w:t>), companies expressed that measurement configuration in NR should be used for CGI reporting, although changes in the LTE ASN.1 structure are foreseen. Hence, the following is proposed:</w:t>
      </w:r>
    </w:p>
    <w:p w14:paraId="144D47CA" w14:textId="77777777" w:rsidR="00C80623" w:rsidRPr="00C81E56" w:rsidRDefault="00C80623" w:rsidP="00A15DFC">
      <w:pPr>
        <w:pStyle w:val="BodyText"/>
        <w:rPr>
          <w:b/>
        </w:rPr>
      </w:pPr>
    </w:p>
    <w:p w14:paraId="6148EAC2" w14:textId="284BCA20" w:rsidR="00A0792F" w:rsidRPr="00C81E56" w:rsidRDefault="00C80623" w:rsidP="00C80623">
      <w:pPr>
        <w:pStyle w:val="Proposal"/>
      </w:pPr>
      <w:r>
        <w:rPr>
          <w:lang w:val="en-US"/>
        </w:rPr>
        <w:t xml:space="preserve">To support ANR across NR cells, as </w:t>
      </w:r>
      <w:r w:rsidR="00F94784">
        <w:rPr>
          <w:lang w:val="en-US"/>
        </w:rPr>
        <w:t xml:space="preserve">in LTE, </w:t>
      </w:r>
      <w:r>
        <w:rPr>
          <w:lang w:val="en-US"/>
        </w:rPr>
        <w:t xml:space="preserve">NG-RAN </w:t>
      </w:r>
      <w:r w:rsidR="007A164C">
        <w:rPr>
          <w:lang w:val="en-US"/>
        </w:rPr>
        <w:t xml:space="preserve">can configure the UE </w:t>
      </w:r>
      <w:r w:rsidR="00F94784">
        <w:rPr>
          <w:lang w:val="en-US"/>
        </w:rPr>
        <w:t xml:space="preserve">to read and report </w:t>
      </w:r>
      <w:r>
        <w:rPr>
          <w:lang w:val="en-US"/>
        </w:rPr>
        <w:t xml:space="preserve">NR </w:t>
      </w:r>
      <w:r w:rsidR="00F94784">
        <w:rPr>
          <w:lang w:val="en-US"/>
        </w:rPr>
        <w:t xml:space="preserve">neighboring cell’s </w:t>
      </w:r>
      <w:r w:rsidR="00C81E56">
        <w:rPr>
          <w:lang w:val="en-US"/>
        </w:rPr>
        <w:t>Global identifier</w:t>
      </w:r>
      <w:r w:rsidR="006952D7">
        <w:rPr>
          <w:lang w:val="en-US"/>
        </w:rPr>
        <w:t>(s)</w:t>
      </w:r>
      <w:r w:rsidR="00C81E56">
        <w:rPr>
          <w:lang w:val="en-US"/>
        </w:rPr>
        <w:t xml:space="preserve"> (GID)</w:t>
      </w:r>
      <w:r w:rsidR="008248BD">
        <w:rPr>
          <w:lang w:val="en-US"/>
        </w:rPr>
        <w:t>, TAC</w:t>
      </w:r>
      <w:r w:rsidR="006952D7">
        <w:rPr>
          <w:lang w:val="en-US"/>
        </w:rPr>
        <w:t>(s)</w:t>
      </w:r>
      <w:r w:rsidR="008248BD">
        <w:rPr>
          <w:lang w:val="en-US"/>
        </w:rPr>
        <w:t xml:space="preserve"> and all available PLMN ID(s)</w:t>
      </w:r>
      <w:r w:rsidR="00F97F0A">
        <w:rPr>
          <w:lang w:val="en-US"/>
        </w:rPr>
        <w:t xml:space="preserve"> to aid neighbor relation establishment procedure</w:t>
      </w:r>
      <w:r w:rsidR="00F94784">
        <w:rPr>
          <w:lang w:val="en-US"/>
        </w:rPr>
        <w:t>.</w:t>
      </w:r>
      <w:r>
        <w:rPr>
          <w:lang w:val="en-US"/>
        </w:rPr>
        <w:t xml:space="preserve"> FFS structure of </w:t>
      </w:r>
      <w:r w:rsidRPr="00C80623">
        <w:rPr>
          <w:lang w:val="en-US"/>
        </w:rPr>
        <w:t>GID is same as the structure of ECGI in LTE</w:t>
      </w:r>
      <w:r>
        <w:rPr>
          <w:lang w:val="en-US"/>
        </w:rPr>
        <w:t>.</w:t>
      </w:r>
    </w:p>
    <w:p w14:paraId="0E4C4508" w14:textId="49CF151A" w:rsidR="00951030" w:rsidRPr="00A15DFC" w:rsidRDefault="00C80623" w:rsidP="00951030">
      <w:pPr>
        <w:pStyle w:val="Proposal"/>
      </w:pPr>
      <w:r>
        <w:rPr>
          <w:lang w:val="en-US"/>
        </w:rPr>
        <w:t xml:space="preserve">To support </w:t>
      </w:r>
      <w:r w:rsidR="00951030">
        <w:rPr>
          <w:lang w:val="en-US"/>
        </w:rPr>
        <w:t xml:space="preserve">LTE IRAT ANR procedure </w:t>
      </w:r>
      <w:r>
        <w:rPr>
          <w:lang w:val="en-US"/>
        </w:rPr>
        <w:t xml:space="preserve">for NR cells, including EN-DC, E-UTRAN can configure the UE to </w:t>
      </w:r>
      <w:r w:rsidR="00951030">
        <w:rPr>
          <w:lang w:val="en-US"/>
        </w:rPr>
        <w:t>read and report neighboring NR cell’s Global identifier</w:t>
      </w:r>
      <w:r w:rsidR="006952D7">
        <w:rPr>
          <w:lang w:val="en-US"/>
        </w:rPr>
        <w:t>(s)</w:t>
      </w:r>
      <w:r w:rsidR="00951030">
        <w:rPr>
          <w:lang w:val="en-US"/>
        </w:rPr>
        <w:t xml:space="preserve"> (GID), TAC</w:t>
      </w:r>
      <w:r w:rsidR="006952D7">
        <w:rPr>
          <w:lang w:val="en-US"/>
        </w:rPr>
        <w:t>(s)</w:t>
      </w:r>
      <w:r w:rsidR="00951030">
        <w:rPr>
          <w:lang w:val="en-US"/>
        </w:rPr>
        <w:t xml:space="preserve"> and all available PLMN ID(s) to aid neighbor relation establishment.</w:t>
      </w:r>
    </w:p>
    <w:p w14:paraId="3FEB6D7C" w14:textId="394DB4A9" w:rsidR="00C80623" w:rsidRPr="00D56529" w:rsidRDefault="00C80623" w:rsidP="00C80623">
      <w:pPr>
        <w:pStyle w:val="Proposal"/>
      </w:pPr>
      <w:r>
        <w:rPr>
          <w:lang w:val="en-US"/>
        </w:rPr>
        <w:t>E-UTRAN measurement configuration (defined in 36.331) should be used to support CGI reporting.</w:t>
      </w:r>
    </w:p>
    <w:p w14:paraId="5C9D4476" w14:textId="7383CAC7" w:rsidR="00C80623" w:rsidRPr="00D56529" w:rsidRDefault="00C80623" w:rsidP="00C80623">
      <w:pPr>
        <w:pStyle w:val="Proposal"/>
      </w:pPr>
      <w:r>
        <w:rPr>
          <w:lang w:val="en-US"/>
        </w:rPr>
        <w:t>NG-RAN measurement configuration (defined in 38.331) should be used to support CGI reporting.</w:t>
      </w:r>
    </w:p>
    <w:p w14:paraId="6DAAF8C8" w14:textId="77777777" w:rsidR="00C01F33" w:rsidRDefault="00C01F33" w:rsidP="00CE0424">
      <w:pPr>
        <w:pStyle w:val="Heading1"/>
      </w:pPr>
      <w:r w:rsidRPr="00CE0424">
        <w:t>Conclusion</w:t>
      </w:r>
    </w:p>
    <w:p w14:paraId="280A0126" w14:textId="6532A2B1" w:rsidR="004158C2" w:rsidRPr="004158C2" w:rsidRDefault="004158C2" w:rsidP="00C47863">
      <w:pPr>
        <w:pStyle w:val="BodyText"/>
        <w:rPr>
          <w:b/>
        </w:rPr>
      </w:pPr>
      <w:r>
        <w:t>In the previous section, the following has been observed:</w:t>
      </w:r>
    </w:p>
    <w:p w14:paraId="28075D13" w14:textId="77777777" w:rsidR="00563637" w:rsidRPr="00A87C47" w:rsidRDefault="00563637" w:rsidP="00563637">
      <w:pPr>
        <w:rPr>
          <w:b/>
        </w:rPr>
      </w:pPr>
    </w:p>
    <w:p w14:paraId="3D8A6184" w14:textId="77777777" w:rsidR="00563637" w:rsidRDefault="00563637" w:rsidP="0039042B">
      <w:pPr>
        <w:pStyle w:val="BodyText"/>
        <w:numPr>
          <w:ilvl w:val="0"/>
          <w:numId w:val="40"/>
        </w:numPr>
        <w:ind w:left="1701" w:hanging="1701"/>
        <w:rPr>
          <w:b/>
        </w:rPr>
      </w:pPr>
      <w:r w:rsidRPr="00A87C47">
        <w:rPr>
          <w:b/>
        </w:rPr>
        <w:t>In LTE, the UE reports to the serving eNB measurement reports associated to local</w:t>
      </w:r>
      <w:r>
        <w:rPr>
          <w:b/>
        </w:rPr>
        <w:t>ly</w:t>
      </w:r>
      <w:r w:rsidRPr="00A87C47">
        <w:rPr>
          <w:b/>
        </w:rPr>
        <w:t xml:space="preserve"> unique identifiers (e.g. PCIs).</w:t>
      </w:r>
    </w:p>
    <w:p w14:paraId="00CBE6F7" w14:textId="77777777" w:rsidR="00563637" w:rsidRPr="00CB27CF" w:rsidRDefault="00563637" w:rsidP="0039042B">
      <w:pPr>
        <w:pStyle w:val="BodyText"/>
        <w:numPr>
          <w:ilvl w:val="0"/>
          <w:numId w:val="40"/>
        </w:numPr>
        <w:ind w:left="1701" w:hanging="1701"/>
        <w:rPr>
          <w:b/>
        </w:rPr>
      </w:pPr>
      <w:r>
        <w:rPr>
          <w:b/>
        </w:rPr>
        <w:t>For handover decisions based on UE reporting of local IDs, a N</w:t>
      </w:r>
      <w:r w:rsidRPr="00A87C47">
        <w:rPr>
          <w:b/>
        </w:rPr>
        <w:t xml:space="preserve">eighbour </w:t>
      </w:r>
      <w:r>
        <w:rPr>
          <w:b/>
        </w:rPr>
        <w:t>R</w:t>
      </w:r>
      <w:r w:rsidRPr="00A87C47">
        <w:rPr>
          <w:b/>
        </w:rPr>
        <w:t>elation</w:t>
      </w:r>
      <w:r>
        <w:rPr>
          <w:b/>
        </w:rPr>
        <w:t xml:space="preserve"> Table</w:t>
      </w:r>
      <w:r w:rsidRPr="00A87C47">
        <w:rPr>
          <w:b/>
        </w:rPr>
        <w:t xml:space="preserve"> </w:t>
      </w:r>
      <w:r>
        <w:rPr>
          <w:b/>
        </w:rPr>
        <w:t xml:space="preserve">(NRT) mapping local IDs to global IDs </w:t>
      </w:r>
      <w:r w:rsidRPr="00A87C47">
        <w:rPr>
          <w:b/>
        </w:rPr>
        <w:t>(e.g. E-CGI)</w:t>
      </w:r>
      <w:r>
        <w:rPr>
          <w:b/>
        </w:rPr>
        <w:t xml:space="preserve"> is necessary to identify the target eNB </w:t>
      </w:r>
      <w:r w:rsidRPr="00A87C47">
        <w:rPr>
          <w:b/>
        </w:rPr>
        <w:t>in order to send a handover preparation and/or a handover request.</w:t>
      </w:r>
    </w:p>
    <w:p w14:paraId="29683553" w14:textId="58BE141D" w:rsidR="00563637" w:rsidRDefault="00563637" w:rsidP="0039042B">
      <w:pPr>
        <w:pStyle w:val="BodyText"/>
        <w:numPr>
          <w:ilvl w:val="0"/>
          <w:numId w:val="40"/>
        </w:numPr>
        <w:ind w:left="1701" w:hanging="1701"/>
        <w:rPr>
          <w:b/>
        </w:rPr>
      </w:pPr>
      <w:r w:rsidRPr="00A87C47">
        <w:rPr>
          <w:b/>
        </w:rPr>
        <w:t xml:space="preserve">In LTE, </w:t>
      </w:r>
      <w:r>
        <w:rPr>
          <w:b/>
        </w:rPr>
        <w:t xml:space="preserve">a serving eNB can request the </w:t>
      </w:r>
      <w:r w:rsidRPr="00A87C47">
        <w:rPr>
          <w:b/>
        </w:rPr>
        <w:t xml:space="preserve">UE </w:t>
      </w:r>
      <w:r>
        <w:rPr>
          <w:b/>
        </w:rPr>
        <w:t>to acquire a global identifier (e.g. ECGI)</w:t>
      </w:r>
      <w:r w:rsidR="008248BD">
        <w:rPr>
          <w:b/>
        </w:rPr>
        <w:t>, TAC, and all available PLMN ID(s)</w:t>
      </w:r>
      <w:r>
        <w:rPr>
          <w:b/>
        </w:rPr>
        <w:t xml:space="preserve"> associated to a previously reported local identifier (PCI).</w:t>
      </w:r>
    </w:p>
    <w:p w14:paraId="175B8BBF" w14:textId="2ECC883E" w:rsidR="00563637" w:rsidRPr="00C47863" w:rsidRDefault="00563637" w:rsidP="0039042B">
      <w:pPr>
        <w:pStyle w:val="BodyText"/>
        <w:numPr>
          <w:ilvl w:val="0"/>
          <w:numId w:val="40"/>
        </w:numPr>
        <w:ind w:left="1701" w:hanging="1701"/>
        <w:rPr>
          <w:b/>
        </w:rPr>
      </w:pPr>
      <w:r>
        <w:rPr>
          <w:b/>
        </w:rPr>
        <w:t>In LTE, a globally unique identifier (ECGI) is broadcasted in SIB1 and can be associated to a locally unique identifier (PCI).</w:t>
      </w:r>
    </w:p>
    <w:p w14:paraId="2E0CE4AC" w14:textId="13DBF07D" w:rsidR="00563637" w:rsidRPr="00D3176C" w:rsidRDefault="00563637" w:rsidP="0039042B">
      <w:pPr>
        <w:pStyle w:val="BodyText"/>
        <w:numPr>
          <w:ilvl w:val="0"/>
          <w:numId w:val="40"/>
        </w:numPr>
        <w:ind w:left="1701" w:hanging="1701"/>
        <w:rPr>
          <w:b/>
        </w:rPr>
      </w:pPr>
      <w:r>
        <w:rPr>
          <w:b/>
        </w:rPr>
        <w:t>In LTE, a globally unique identifier (ECGI) is broadcasted with a larger periodicity than the locally unique identifier (PCI).</w:t>
      </w:r>
    </w:p>
    <w:p w14:paraId="04B6C4A8" w14:textId="77777777" w:rsidR="00563637" w:rsidRPr="003065F6" w:rsidRDefault="00563637" w:rsidP="0039042B">
      <w:pPr>
        <w:pStyle w:val="BodyText"/>
        <w:numPr>
          <w:ilvl w:val="0"/>
          <w:numId w:val="40"/>
        </w:numPr>
        <w:ind w:left="1701" w:hanging="1701"/>
        <w:rPr>
          <w:b/>
        </w:rPr>
      </w:pPr>
      <w:r>
        <w:rPr>
          <w:b/>
        </w:rPr>
        <w:t>The RRM measurements on IDLE RSs are expected to be reported as per the measured PCI values by the UE</w:t>
      </w:r>
      <w:r w:rsidRPr="00A87C47">
        <w:rPr>
          <w:b/>
        </w:rPr>
        <w:t>.</w:t>
      </w:r>
    </w:p>
    <w:p w14:paraId="72A317E0" w14:textId="68A39304" w:rsidR="00563637" w:rsidRDefault="00563637" w:rsidP="0039042B">
      <w:pPr>
        <w:pStyle w:val="BodyText"/>
        <w:numPr>
          <w:ilvl w:val="0"/>
          <w:numId w:val="40"/>
        </w:numPr>
        <w:ind w:left="1701" w:hanging="1701"/>
        <w:rPr>
          <w:b/>
        </w:rPr>
      </w:pPr>
      <w:r>
        <w:rPr>
          <w:b/>
        </w:rPr>
        <w:t xml:space="preserve">The neighbour relation establishment procedure based on the UE reporting the </w:t>
      </w:r>
      <w:r w:rsidR="008248BD">
        <w:rPr>
          <w:b/>
        </w:rPr>
        <w:t xml:space="preserve">globally unique identifier , TAC and all available PLMN ID(s) </w:t>
      </w:r>
      <w:r>
        <w:rPr>
          <w:b/>
        </w:rPr>
        <w:t>of the unknown cell as listed in LTE can be re-used for NR also</w:t>
      </w:r>
      <w:r w:rsidRPr="00A87C47">
        <w:rPr>
          <w:b/>
        </w:rPr>
        <w:t>.</w:t>
      </w:r>
    </w:p>
    <w:p w14:paraId="3E6329DA" w14:textId="77777777" w:rsidR="00563637" w:rsidRDefault="00563637" w:rsidP="0039042B">
      <w:pPr>
        <w:pStyle w:val="BodyText"/>
        <w:numPr>
          <w:ilvl w:val="0"/>
          <w:numId w:val="40"/>
        </w:numPr>
        <w:ind w:left="1701" w:hanging="1701"/>
        <w:rPr>
          <w:b/>
        </w:rPr>
      </w:pPr>
      <w:r>
        <w:rPr>
          <w:b/>
        </w:rPr>
        <w:t xml:space="preserve">The information elements </w:t>
      </w:r>
      <w:r w:rsidRPr="007F40C8">
        <w:rPr>
          <w:b/>
        </w:rPr>
        <w:t>required to derive the ECGI (PLMN ID and the Cell</w:t>
      </w:r>
      <w:r>
        <w:rPr>
          <w:b/>
        </w:rPr>
        <w:t xml:space="preserve"> </w:t>
      </w:r>
      <w:r w:rsidRPr="007F40C8">
        <w:rPr>
          <w:b/>
        </w:rPr>
        <w:t xml:space="preserve">Identity) are provided in NR as </w:t>
      </w:r>
      <w:r>
        <w:rPr>
          <w:b/>
        </w:rPr>
        <w:t xml:space="preserve">expected to be </w:t>
      </w:r>
      <w:r w:rsidRPr="007F40C8">
        <w:rPr>
          <w:b/>
        </w:rPr>
        <w:t>part of the SIB1 message</w:t>
      </w:r>
      <w:r>
        <w:rPr>
          <w:b/>
        </w:rPr>
        <w:t xml:space="preserve">.  </w:t>
      </w:r>
    </w:p>
    <w:p w14:paraId="7D2B22A8" w14:textId="77777777" w:rsidR="004158C2" w:rsidRDefault="004158C2" w:rsidP="004158C2">
      <w:pPr>
        <w:pStyle w:val="BodyText"/>
      </w:pPr>
    </w:p>
    <w:p w14:paraId="16745B98" w14:textId="25285330" w:rsidR="004158C2" w:rsidRDefault="004158C2" w:rsidP="004158C2">
      <w:pPr>
        <w:pStyle w:val="BodyText"/>
      </w:pPr>
      <w:r>
        <w:t>Based on these observations, we have proposed the following:</w:t>
      </w:r>
    </w:p>
    <w:p w14:paraId="76DEB333" w14:textId="77777777" w:rsidR="00A15DFC" w:rsidRPr="00A15DFC" w:rsidRDefault="00A15DFC" w:rsidP="00A15DFC">
      <w:pPr>
        <w:pStyle w:val="BodyText"/>
        <w:rPr>
          <w:b/>
        </w:rPr>
      </w:pPr>
      <w:r w:rsidRPr="00A15DFC">
        <w:rPr>
          <w:b/>
        </w:rPr>
        <w:t>Proposal 1</w:t>
      </w:r>
      <w:r w:rsidRPr="00A15DFC">
        <w:rPr>
          <w:b/>
        </w:rPr>
        <w:tab/>
        <w:t>To support ANR across NR cells, as in LTE, NG-RAN can configure the UE to read and report NR neighboring cell’s Global identifier(s) (GID), TAC(s) and all available PLMN ID(s) to aid neighbor relation establishment procedure. FFS structure of GID is same as the structure of ECGI in LTE.</w:t>
      </w:r>
    </w:p>
    <w:p w14:paraId="588DA61C" w14:textId="77777777" w:rsidR="00A15DFC" w:rsidRPr="00A15DFC" w:rsidRDefault="00A15DFC" w:rsidP="00A15DFC">
      <w:pPr>
        <w:pStyle w:val="BodyText"/>
        <w:rPr>
          <w:b/>
        </w:rPr>
      </w:pPr>
      <w:r w:rsidRPr="00A15DFC">
        <w:rPr>
          <w:b/>
        </w:rPr>
        <w:t>Proposal 2</w:t>
      </w:r>
      <w:r w:rsidRPr="00A15DFC">
        <w:rPr>
          <w:b/>
        </w:rPr>
        <w:tab/>
        <w:t>To support LTE IRAT ANR procedure for NR cells, including EN-DC, E-UTRAN can configure the UE to read and report neighboring NR cell’s Global identifier(s) (GID), TAC(s) and all available PLMN ID(s) to aid neighbor relation establishment.</w:t>
      </w:r>
    </w:p>
    <w:p w14:paraId="4D2A604E" w14:textId="77777777" w:rsidR="00A15DFC" w:rsidRPr="00A15DFC" w:rsidRDefault="00A15DFC" w:rsidP="00A15DFC">
      <w:pPr>
        <w:pStyle w:val="BodyText"/>
        <w:rPr>
          <w:b/>
        </w:rPr>
      </w:pPr>
      <w:r w:rsidRPr="00A15DFC">
        <w:rPr>
          <w:b/>
        </w:rPr>
        <w:t>Proposal 3</w:t>
      </w:r>
      <w:r w:rsidRPr="00A15DFC">
        <w:rPr>
          <w:b/>
        </w:rPr>
        <w:tab/>
        <w:t>E-UTRAN measurement configuration (defined in 36.331) should be used to support CGI reporting.</w:t>
      </w:r>
    </w:p>
    <w:p w14:paraId="170C26E4" w14:textId="6DBD6BE5" w:rsidR="00A15DFC" w:rsidRPr="00A15DFC" w:rsidRDefault="00A15DFC" w:rsidP="00A15DFC">
      <w:pPr>
        <w:pStyle w:val="BodyText"/>
        <w:rPr>
          <w:b/>
        </w:rPr>
      </w:pPr>
      <w:r w:rsidRPr="00A15DFC">
        <w:rPr>
          <w:b/>
        </w:rPr>
        <w:t>Proposal 4</w:t>
      </w:r>
      <w:r w:rsidRPr="00A15DFC">
        <w:rPr>
          <w:b/>
        </w:rPr>
        <w:tab/>
        <w:t>NG-RAN measurement configuration (defined in 38.331) should be used to support CGI reporting.</w:t>
      </w:r>
    </w:p>
    <w:p w14:paraId="4F3D1ECA" w14:textId="77777777" w:rsidR="00F507D1" w:rsidRPr="00CE0424" w:rsidRDefault="00F507D1" w:rsidP="00CE0424">
      <w:pPr>
        <w:pStyle w:val="Heading1"/>
      </w:pPr>
      <w:bookmarkStart w:id="3" w:name="_In-sequence_SDU_delivery"/>
      <w:bookmarkEnd w:id="3"/>
      <w:r w:rsidRPr="00CE0424">
        <w:t>References</w:t>
      </w:r>
    </w:p>
    <w:p w14:paraId="77132D2E" w14:textId="77777777" w:rsidR="00081D62" w:rsidRPr="00313D3B" w:rsidRDefault="00081D62" w:rsidP="00081D62">
      <w:pPr>
        <w:pStyle w:val="Reference"/>
        <w:rPr>
          <w:rFonts w:cs="Arial"/>
        </w:rPr>
      </w:pPr>
      <w:bookmarkStart w:id="4" w:name="_Ref456254943"/>
      <w:bookmarkStart w:id="5" w:name="_Ref456256904"/>
      <w:bookmarkStart w:id="6" w:name="_Ref455126129"/>
      <w:bookmarkStart w:id="7" w:name="_Ref174151459"/>
      <w:bookmarkStart w:id="8" w:name="_Ref189809556"/>
      <w:bookmarkStart w:id="9" w:name="_Ref458687908"/>
      <w:r w:rsidRPr="00313D3B">
        <w:t>3GPP TS 36.300</w:t>
      </w:r>
      <w:r>
        <w:t xml:space="preserve"> V13.4.0 (2016-06), “Evolved Universal Terrestrial Radio Access (E-UTRA) and Evolved Universal Terrestrial Radio Access Network (E-UTRAN); Overall description”</w:t>
      </w:r>
      <w:bookmarkEnd w:id="4"/>
      <w:bookmarkEnd w:id="5"/>
    </w:p>
    <w:p w14:paraId="0B8BECB2" w14:textId="57C557C5" w:rsidR="008B6D83" w:rsidRPr="00010E3F" w:rsidRDefault="00081D62" w:rsidP="00010E3F">
      <w:pPr>
        <w:pStyle w:val="Reference"/>
        <w:spacing w:line="276" w:lineRule="auto"/>
        <w:rPr>
          <w:rFonts w:cs="Arial"/>
        </w:rPr>
      </w:pPr>
      <w:bookmarkStart w:id="10" w:name="_Ref456255044"/>
      <w:r w:rsidRPr="00313D3B">
        <w:rPr>
          <w:rFonts w:cs="Arial"/>
        </w:rPr>
        <w:t>A. Dahlén, A. Johansson, F. Gunnarsson, J. Moe, T. Rimhagen, H. Kallin, ”Evaluations of LTE Automatic Neighbor Relations”, in Proc. IWSON at VTC Spring, Budapest, Hungary, 2011.</w:t>
      </w:r>
      <w:bookmarkEnd w:id="6"/>
      <w:bookmarkEnd w:id="7"/>
      <w:bookmarkEnd w:id="8"/>
      <w:bookmarkEnd w:id="9"/>
      <w:bookmarkEnd w:id="10"/>
    </w:p>
    <w:sectPr w:rsidR="008B6D83" w:rsidRPr="00010E3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81E7E" w14:textId="77777777" w:rsidR="0047217C" w:rsidRDefault="0047217C">
      <w:r>
        <w:separator/>
      </w:r>
    </w:p>
  </w:endnote>
  <w:endnote w:type="continuationSeparator" w:id="0">
    <w:p w14:paraId="62C44AD8" w14:textId="77777777" w:rsidR="0047217C" w:rsidRDefault="00472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D61EF" w14:textId="4892B498" w:rsidR="006C7391" w:rsidRDefault="006C739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1478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1478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733F03" w14:textId="77777777" w:rsidR="0047217C" w:rsidRDefault="0047217C">
      <w:r>
        <w:separator/>
      </w:r>
    </w:p>
  </w:footnote>
  <w:footnote w:type="continuationSeparator" w:id="0">
    <w:p w14:paraId="077A8D11" w14:textId="77777777" w:rsidR="0047217C" w:rsidRDefault="00472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4BB3E" w14:textId="77777777" w:rsidR="006C7391" w:rsidRDefault="006C739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D74F5"/>
    <w:multiLevelType w:val="hybridMultilevel"/>
    <w:tmpl w:val="5EAEAC9A"/>
    <w:lvl w:ilvl="0" w:tplc="2440F928">
      <w:start w:val="1"/>
      <w:numFmt w:val="bullet"/>
      <w:lvlText w:val="–"/>
      <w:lvlJc w:val="left"/>
      <w:pPr>
        <w:tabs>
          <w:tab w:val="num" w:pos="720"/>
        </w:tabs>
        <w:ind w:left="720" w:hanging="360"/>
      </w:pPr>
      <w:rPr>
        <w:rFonts w:ascii="Ericsson Capital TT" w:hAnsi="Ericsson Capital TT" w:hint="default"/>
      </w:rPr>
    </w:lvl>
    <w:lvl w:ilvl="1" w:tplc="3B72187E">
      <w:start w:val="1"/>
      <w:numFmt w:val="bullet"/>
      <w:lvlText w:val="–"/>
      <w:lvlJc w:val="left"/>
      <w:pPr>
        <w:tabs>
          <w:tab w:val="num" w:pos="1440"/>
        </w:tabs>
        <w:ind w:left="1440" w:hanging="360"/>
      </w:pPr>
      <w:rPr>
        <w:rFonts w:ascii="Ericsson Capital TT" w:hAnsi="Ericsson Capital TT" w:hint="default"/>
      </w:rPr>
    </w:lvl>
    <w:lvl w:ilvl="2" w:tplc="DB361EB4" w:tentative="1">
      <w:start w:val="1"/>
      <w:numFmt w:val="bullet"/>
      <w:lvlText w:val="–"/>
      <w:lvlJc w:val="left"/>
      <w:pPr>
        <w:tabs>
          <w:tab w:val="num" w:pos="2160"/>
        </w:tabs>
        <w:ind w:left="2160" w:hanging="360"/>
      </w:pPr>
      <w:rPr>
        <w:rFonts w:ascii="Ericsson Capital TT" w:hAnsi="Ericsson Capital TT" w:hint="default"/>
      </w:rPr>
    </w:lvl>
    <w:lvl w:ilvl="3" w:tplc="557E2C0A" w:tentative="1">
      <w:start w:val="1"/>
      <w:numFmt w:val="bullet"/>
      <w:lvlText w:val="–"/>
      <w:lvlJc w:val="left"/>
      <w:pPr>
        <w:tabs>
          <w:tab w:val="num" w:pos="2880"/>
        </w:tabs>
        <w:ind w:left="2880" w:hanging="360"/>
      </w:pPr>
      <w:rPr>
        <w:rFonts w:ascii="Ericsson Capital TT" w:hAnsi="Ericsson Capital TT" w:hint="default"/>
      </w:rPr>
    </w:lvl>
    <w:lvl w:ilvl="4" w:tplc="F392A80C" w:tentative="1">
      <w:start w:val="1"/>
      <w:numFmt w:val="bullet"/>
      <w:lvlText w:val="–"/>
      <w:lvlJc w:val="left"/>
      <w:pPr>
        <w:tabs>
          <w:tab w:val="num" w:pos="3600"/>
        </w:tabs>
        <w:ind w:left="3600" w:hanging="360"/>
      </w:pPr>
      <w:rPr>
        <w:rFonts w:ascii="Ericsson Capital TT" w:hAnsi="Ericsson Capital TT" w:hint="default"/>
      </w:rPr>
    </w:lvl>
    <w:lvl w:ilvl="5" w:tplc="7C961CE6" w:tentative="1">
      <w:start w:val="1"/>
      <w:numFmt w:val="bullet"/>
      <w:lvlText w:val="–"/>
      <w:lvlJc w:val="left"/>
      <w:pPr>
        <w:tabs>
          <w:tab w:val="num" w:pos="4320"/>
        </w:tabs>
        <w:ind w:left="4320" w:hanging="360"/>
      </w:pPr>
      <w:rPr>
        <w:rFonts w:ascii="Ericsson Capital TT" w:hAnsi="Ericsson Capital TT" w:hint="default"/>
      </w:rPr>
    </w:lvl>
    <w:lvl w:ilvl="6" w:tplc="2E90CBDC" w:tentative="1">
      <w:start w:val="1"/>
      <w:numFmt w:val="bullet"/>
      <w:lvlText w:val="–"/>
      <w:lvlJc w:val="left"/>
      <w:pPr>
        <w:tabs>
          <w:tab w:val="num" w:pos="5040"/>
        </w:tabs>
        <w:ind w:left="5040" w:hanging="360"/>
      </w:pPr>
      <w:rPr>
        <w:rFonts w:ascii="Ericsson Capital TT" w:hAnsi="Ericsson Capital TT" w:hint="default"/>
      </w:rPr>
    </w:lvl>
    <w:lvl w:ilvl="7" w:tplc="63D0C270" w:tentative="1">
      <w:start w:val="1"/>
      <w:numFmt w:val="bullet"/>
      <w:lvlText w:val="–"/>
      <w:lvlJc w:val="left"/>
      <w:pPr>
        <w:tabs>
          <w:tab w:val="num" w:pos="5760"/>
        </w:tabs>
        <w:ind w:left="5760" w:hanging="360"/>
      </w:pPr>
      <w:rPr>
        <w:rFonts w:ascii="Ericsson Capital TT" w:hAnsi="Ericsson Capital TT" w:hint="default"/>
      </w:rPr>
    </w:lvl>
    <w:lvl w:ilvl="8" w:tplc="C38E9278"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06F21790"/>
    <w:multiLevelType w:val="hybridMultilevel"/>
    <w:tmpl w:val="2052744A"/>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7B"/>
    <w:multiLevelType w:val="hybridMultilevel"/>
    <w:tmpl w:val="B3D0CA4A"/>
    <w:lvl w:ilvl="0" w:tplc="D9B0EAD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E60ECD"/>
    <w:multiLevelType w:val="hybridMultilevel"/>
    <w:tmpl w:val="DFE6F740"/>
    <w:lvl w:ilvl="0" w:tplc="041D0001">
      <w:start w:val="1"/>
      <w:numFmt w:val="bullet"/>
      <w:lvlText w:val=""/>
      <w:lvlJc w:val="left"/>
      <w:pPr>
        <w:ind w:left="1008" w:hanging="360"/>
      </w:pPr>
      <w:rPr>
        <w:rFonts w:ascii="Symbol" w:hAnsi="Symbol" w:hint="default"/>
      </w:rPr>
    </w:lvl>
    <w:lvl w:ilvl="1" w:tplc="041D0003">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8" w15:restartNumberingAfterBreak="0">
    <w:nsid w:val="146476EA"/>
    <w:multiLevelType w:val="hybridMultilevel"/>
    <w:tmpl w:val="3F4A7C9E"/>
    <w:lvl w:ilvl="0" w:tplc="E30CC44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64E42"/>
    <w:multiLevelType w:val="hybridMultilevel"/>
    <w:tmpl w:val="DFC8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620E53"/>
    <w:multiLevelType w:val="hybridMultilevel"/>
    <w:tmpl w:val="5E901A3A"/>
    <w:lvl w:ilvl="0" w:tplc="70F600E6">
      <w:start w:val="1"/>
      <w:numFmt w:val="bullet"/>
      <w:lvlText w:val="›"/>
      <w:lvlJc w:val="left"/>
      <w:pPr>
        <w:tabs>
          <w:tab w:val="num" w:pos="720"/>
        </w:tabs>
        <w:ind w:left="720" w:hanging="360"/>
      </w:pPr>
      <w:rPr>
        <w:rFonts w:ascii="Arial" w:hAnsi="Arial" w:hint="default"/>
      </w:rPr>
    </w:lvl>
    <w:lvl w:ilvl="1" w:tplc="D0305DF0">
      <w:start w:val="55"/>
      <w:numFmt w:val="bullet"/>
      <w:lvlText w:val="–"/>
      <w:lvlJc w:val="left"/>
      <w:pPr>
        <w:tabs>
          <w:tab w:val="num" w:pos="1440"/>
        </w:tabs>
        <w:ind w:left="1440" w:hanging="360"/>
      </w:pPr>
      <w:rPr>
        <w:rFonts w:ascii="Ericsson Capital TT" w:hAnsi="Ericsson Capital TT" w:hint="default"/>
      </w:rPr>
    </w:lvl>
    <w:lvl w:ilvl="2" w:tplc="45B0F3D0" w:tentative="1">
      <w:start w:val="1"/>
      <w:numFmt w:val="bullet"/>
      <w:lvlText w:val="›"/>
      <w:lvlJc w:val="left"/>
      <w:pPr>
        <w:tabs>
          <w:tab w:val="num" w:pos="2160"/>
        </w:tabs>
        <w:ind w:left="2160" w:hanging="360"/>
      </w:pPr>
      <w:rPr>
        <w:rFonts w:ascii="Arial" w:hAnsi="Arial" w:hint="default"/>
      </w:rPr>
    </w:lvl>
    <w:lvl w:ilvl="3" w:tplc="363ACDD8" w:tentative="1">
      <w:start w:val="1"/>
      <w:numFmt w:val="bullet"/>
      <w:lvlText w:val="›"/>
      <w:lvlJc w:val="left"/>
      <w:pPr>
        <w:tabs>
          <w:tab w:val="num" w:pos="2880"/>
        </w:tabs>
        <w:ind w:left="2880" w:hanging="360"/>
      </w:pPr>
      <w:rPr>
        <w:rFonts w:ascii="Arial" w:hAnsi="Arial" w:hint="default"/>
      </w:rPr>
    </w:lvl>
    <w:lvl w:ilvl="4" w:tplc="55ECD6C8" w:tentative="1">
      <w:start w:val="1"/>
      <w:numFmt w:val="bullet"/>
      <w:lvlText w:val="›"/>
      <w:lvlJc w:val="left"/>
      <w:pPr>
        <w:tabs>
          <w:tab w:val="num" w:pos="3600"/>
        </w:tabs>
        <w:ind w:left="3600" w:hanging="360"/>
      </w:pPr>
      <w:rPr>
        <w:rFonts w:ascii="Arial" w:hAnsi="Arial" w:hint="default"/>
      </w:rPr>
    </w:lvl>
    <w:lvl w:ilvl="5" w:tplc="40849838" w:tentative="1">
      <w:start w:val="1"/>
      <w:numFmt w:val="bullet"/>
      <w:lvlText w:val="›"/>
      <w:lvlJc w:val="left"/>
      <w:pPr>
        <w:tabs>
          <w:tab w:val="num" w:pos="4320"/>
        </w:tabs>
        <w:ind w:left="4320" w:hanging="360"/>
      </w:pPr>
      <w:rPr>
        <w:rFonts w:ascii="Arial" w:hAnsi="Arial" w:hint="default"/>
      </w:rPr>
    </w:lvl>
    <w:lvl w:ilvl="6" w:tplc="240C682C" w:tentative="1">
      <w:start w:val="1"/>
      <w:numFmt w:val="bullet"/>
      <w:lvlText w:val="›"/>
      <w:lvlJc w:val="left"/>
      <w:pPr>
        <w:tabs>
          <w:tab w:val="num" w:pos="5040"/>
        </w:tabs>
        <w:ind w:left="5040" w:hanging="360"/>
      </w:pPr>
      <w:rPr>
        <w:rFonts w:ascii="Arial" w:hAnsi="Arial" w:hint="default"/>
      </w:rPr>
    </w:lvl>
    <w:lvl w:ilvl="7" w:tplc="FFD674D8" w:tentative="1">
      <w:start w:val="1"/>
      <w:numFmt w:val="bullet"/>
      <w:lvlText w:val="›"/>
      <w:lvlJc w:val="left"/>
      <w:pPr>
        <w:tabs>
          <w:tab w:val="num" w:pos="5760"/>
        </w:tabs>
        <w:ind w:left="5760" w:hanging="360"/>
      </w:pPr>
      <w:rPr>
        <w:rFonts w:ascii="Arial" w:hAnsi="Arial" w:hint="default"/>
      </w:rPr>
    </w:lvl>
    <w:lvl w:ilvl="8" w:tplc="F6C478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F06A00"/>
    <w:multiLevelType w:val="hybridMultilevel"/>
    <w:tmpl w:val="DEEE054C"/>
    <w:lvl w:ilvl="0" w:tplc="2F28906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35070B9"/>
    <w:multiLevelType w:val="hybridMultilevel"/>
    <w:tmpl w:val="90CEB808"/>
    <w:lvl w:ilvl="0" w:tplc="AAF03F5A">
      <w:start w:val="1"/>
      <w:numFmt w:val="bullet"/>
      <w:lvlText w:val="–"/>
      <w:lvlJc w:val="left"/>
      <w:pPr>
        <w:tabs>
          <w:tab w:val="num" w:pos="720"/>
        </w:tabs>
        <w:ind w:left="720" w:hanging="360"/>
      </w:pPr>
      <w:rPr>
        <w:rFonts w:ascii="Ericsson Capital TT" w:hAnsi="Ericsson Capital TT" w:hint="default"/>
      </w:rPr>
    </w:lvl>
    <w:lvl w:ilvl="1" w:tplc="EF427B06">
      <w:start w:val="1"/>
      <w:numFmt w:val="bullet"/>
      <w:lvlText w:val="–"/>
      <w:lvlJc w:val="left"/>
      <w:pPr>
        <w:tabs>
          <w:tab w:val="num" w:pos="1440"/>
        </w:tabs>
        <w:ind w:left="1440" w:hanging="360"/>
      </w:pPr>
      <w:rPr>
        <w:rFonts w:ascii="Ericsson Capital TT" w:hAnsi="Ericsson Capital TT" w:hint="default"/>
      </w:rPr>
    </w:lvl>
    <w:lvl w:ilvl="2" w:tplc="120A5F60" w:tentative="1">
      <w:start w:val="1"/>
      <w:numFmt w:val="bullet"/>
      <w:lvlText w:val="–"/>
      <w:lvlJc w:val="left"/>
      <w:pPr>
        <w:tabs>
          <w:tab w:val="num" w:pos="2160"/>
        </w:tabs>
        <w:ind w:left="2160" w:hanging="360"/>
      </w:pPr>
      <w:rPr>
        <w:rFonts w:ascii="Ericsson Capital TT" w:hAnsi="Ericsson Capital TT" w:hint="default"/>
      </w:rPr>
    </w:lvl>
    <w:lvl w:ilvl="3" w:tplc="6D6894D4" w:tentative="1">
      <w:start w:val="1"/>
      <w:numFmt w:val="bullet"/>
      <w:lvlText w:val="–"/>
      <w:lvlJc w:val="left"/>
      <w:pPr>
        <w:tabs>
          <w:tab w:val="num" w:pos="2880"/>
        </w:tabs>
        <w:ind w:left="2880" w:hanging="360"/>
      </w:pPr>
      <w:rPr>
        <w:rFonts w:ascii="Ericsson Capital TT" w:hAnsi="Ericsson Capital TT" w:hint="default"/>
      </w:rPr>
    </w:lvl>
    <w:lvl w:ilvl="4" w:tplc="F780A8A0" w:tentative="1">
      <w:start w:val="1"/>
      <w:numFmt w:val="bullet"/>
      <w:lvlText w:val="–"/>
      <w:lvlJc w:val="left"/>
      <w:pPr>
        <w:tabs>
          <w:tab w:val="num" w:pos="3600"/>
        </w:tabs>
        <w:ind w:left="3600" w:hanging="360"/>
      </w:pPr>
      <w:rPr>
        <w:rFonts w:ascii="Ericsson Capital TT" w:hAnsi="Ericsson Capital TT" w:hint="default"/>
      </w:rPr>
    </w:lvl>
    <w:lvl w:ilvl="5" w:tplc="86A4D700" w:tentative="1">
      <w:start w:val="1"/>
      <w:numFmt w:val="bullet"/>
      <w:lvlText w:val="–"/>
      <w:lvlJc w:val="left"/>
      <w:pPr>
        <w:tabs>
          <w:tab w:val="num" w:pos="4320"/>
        </w:tabs>
        <w:ind w:left="4320" w:hanging="360"/>
      </w:pPr>
      <w:rPr>
        <w:rFonts w:ascii="Ericsson Capital TT" w:hAnsi="Ericsson Capital TT" w:hint="default"/>
      </w:rPr>
    </w:lvl>
    <w:lvl w:ilvl="6" w:tplc="A998A5B2" w:tentative="1">
      <w:start w:val="1"/>
      <w:numFmt w:val="bullet"/>
      <w:lvlText w:val="–"/>
      <w:lvlJc w:val="left"/>
      <w:pPr>
        <w:tabs>
          <w:tab w:val="num" w:pos="5040"/>
        </w:tabs>
        <w:ind w:left="5040" w:hanging="360"/>
      </w:pPr>
      <w:rPr>
        <w:rFonts w:ascii="Ericsson Capital TT" w:hAnsi="Ericsson Capital TT" w:hint="default"/>
      </w:rPr>
    </w:lvl>
    <w:lvl w:ilvl="7" w:tplc="205E1E94" w:tentative="1">
      <w:start w:val="1"/>
      <w:numFmt w:val="bullet"/>
      <w:lvlText w:val="–"/>
      <w:lvlJc w:val="left"/>
      <w:pPr>
        <w:tabs>
          <w:tab w:val="num" w:pos="5760"/>
        </w:tabs>
        <w:ind w:left="5760" w:hanging="360"/>
      </w:pPr>
      <w:rPr>
        <w:rFonts w:ascii="Ericsson Capital TT" w:hAnsi="Ericsson Capital TT" w:hint="default"/>
      </w:rPr>
    </w:lvl>
    <w:lvl w:ilvl="8" w:tplc="6E0C19FE" w:tentative="1">
      <w:start w:val="1"/>
      <w:numFmt w:val="bullet"/>
      <w:lvlText w:val="–"/>
      <w:lvlJc w:val="left"/>
      <w:pPr>
        <w:tabs>
          <w:tab w:val="num" w:pos="6480"/>
        </w:tabs>
        <w:ind w:left="6480" w:hanging="360"/>
      </w:pPr>
      <w:rPr>
        <w:rFonts w:ascii="Ericsson Capital TT" w:hAnsi="Ericsson Capital TT" w:hint="default"/>
      </w:rPr>
    </w:lvl>
  </w:abstractNum>
  <w:abstractNum w:abstractNumId="13" w15:restartNumberingAfterBreak="0">
    <w:nsid w:val="23953180"/>
    <w:multiLevelType w:val="hybridMultilevel"/>
    <w:tmpl w:val="8DF20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6E6C15"/>
    <w:multiLevelType w:val="hybridMultilevel"/>
    <w:tmpl w:val="3796D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871"/>
        </w:tabs>
        <w:ind w:left="1871" w:hanging="1304"/>
      </w:pPr>
      <w:rPr>
        <w:rFonts w:hint="default"/>
      </w:rPr>
    </w:lvl>
    <w:lvl w:ilvl="1" w:tplc="04090019">
      <w:start w:val="1"/>
      <w:numFmt w:val="lowerLetter"/>
      <w:lvlText w:val="%2."/>
      <w:lvlJc w:val="left"/>
      <w:pPr>
        <w:tabs>
          <w:tab w:val="num" w:pos="2007"/>
        </w:tabs>
        <w:ind w:left="2007" w:hanging="360"/>
      </w:pPr>
    </w:lvl>
    <w:lvl w:ilvl="2" w:tplc="0409001B">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9" w15:restartNumberingAfterBreak="0">
    <w:nsid w:val="3B70094A"/>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8C2CE6"/>
    <w:multiLevelType w:val="hybridMultilevel"/>
    <w:tmpl w:val="B8169484"/>
    <w:lvl w:ilvl="0" w:tplc="55284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282386D"/>
    <w:multiLevelType w:val="hybridMultilevel"/>
    <w:tmpl w:val="F4481F7A"/>
    <w:lvl w:ilvl="0" w:tplc="16369CDA">
      <w:start w:val="1"/>
      <w:numFmt w:val="bullet"/>
      <w:lvlText w:val="–"/>
      <w:lvlJc w:val="left"/>
      <w:pPr>
        <w:tabs>
          <w:tab w:val="num" w:pos="720"/>
        </w:tabs>
        <w:ind w:left="720" w:hanging="360"/>
      </w:pPr>
      <w:rPr>
        <w:rFonts w:ascii="Ericsson Capital TT" w:hAnsi="Ericsson Capital TT" w:hint="default"/>
      </w:rPr>
    </w:lvl>
    <w:lvl w:ilvl="1" w:tplc="CB786D92">
      <w:start w:val="1"/>
      <w:numFmt w:val="bullet"/>
      <w:lvlText w:val="–"/>
      <w:lvlJc w:val="left"/>
      <w:pPr>
        <w:tabs>
          <w:tab w:val="num" w:pos="1440"/>
        </w:tabs>
        <w:ind w:left="1440" w:hanging="360"/>
      </w:pPr>
      <w:rPr>
        <w:rFonts w:ascii="Ericsson Capital TT" w:hAnsi="Ericsson Capital TT" w:hint="default"/>
      </w:rPr>
    </w:lvl>
    <w:lvl w:ilvl="2" w:tplc="1666AD5C" w:tentative="1">
      <w:start w:val="1"/>
      <w:numFmt w:val="bullet"/>
      <w:lvlText w:val="–"/>
      <w:lvlJc w:val="left"/>
      <w:pPr>
        <w:tabs>
          <w:tab w:val="num" w:pos="2160"/>
        </w:tabs>
        <w:ind w:left="2160" w:hanging="360"/>
      </w:pPr>
      <w:rPr>
        <w:rFonts w:ascii="Ericsson Capital TT" w:hAnsi="Ericsson Capital TT" w:hint="default"/>
      </w:rPr>
    </w:lvl>
    <w:lvl w:ilvl="3" w:tplc="1034EB64" w:tentative="1">
      <w:start w:val="1"/>
      <w:numFmt w:val="bullet"/>
      <w:lvlText w:val="–"/>
      <w:lvlJc w:val="left"/>
      <w:pPr>
        <w:tabs>
          <w:tab w:val="num" w:pos="2880"/>
        </w:tabs>
        <w:ind w:left="2880" w:hanging="360"/>
      </w:pPr>
      <w:rPr>
        <w:rFonts w:ascii="Ericsson Capital TT" w:hAnsi="Ericsson Capital TT" w:hint="default"/>
      </w:rPr>
    </w:lvl>
    <w:lvl w:ilvl="4" w:tplc="F904A5F0" w:tentative="1">
      <w:start w:val="1"/>
      <w:numFmt w:val="bullet"/>
      <w:lvlText w:val="–"/>
      <w:lvlJc w:val="left"/>
      <w:pPr>
        <w:tabs>
          <w:tab w:val="num" w:pos="3600"/>
        </w:tabs>
        <w:ind w:left="3600" w:hanging="360"/>
      </w:pPr>
      <w:rPr>
        <w:rFonts w:ascii="Ericsson Capital TT" w:hAnsi="Ericsson Capital TT" w:hint="default"/>
      </w:rPr>
    </w:lvl>
    <w:lvl w:ilvl="5" w:tplc="54081CC4" w:tentative="1">
      <w:start w:val="1"/>
      <w:numFmt w:val="bullet"/>
      <w:lvlText w:val="–"/>
      <w:lvlJc w:val="left"/>
      <w:pPr>
        <w:tabs>
          <w:tab w:val="num" w:pos="4320"/>
        </w:tabs>
        <w:ind w:left="4320" w:hanging="360"/>
      </w:pPr>
      <w:rPr>
        <w:rFonts w:ascii="Ericsson Capital TT" w:hAnsi="Ericsson Capital TT" w:hint="default"/>
      </w:rPr>
    </w:lvl>
    <w:lvl w:ilvl="6" w:tplc="F4725564" w:tentative="1">
      <w:start w:val="1"/>
      <w:numFmt w:val="bullet"/>
      <w:lvlText w:val="–"/>
      <w:lvlJc w:val="left"/>
      <w:pPr>
        <w:tabs>
          <w:tab w:val="num" w:pos="5040"/>
        </w:tabs>
        <w:ind w:left="5040" w:hanging="360"/>
      </w:pPr>
      <w:rPr>
        <w:rFonts w:ascii="Ericsson Capital TT" w:hAnsi="Ericsson Capital TT" w:hint="default"/>
      </w:rPr>
    </w:lvl>
    <w:lvl w:ilvl="7" w:tplc="5CC096A8" w:tentative="1">
      <w:start w:val="1"/>
      <w:numFmt w:val="bullet"/>
      <w:lvlText w:val="–"/>
      <w:lvlJc w:val="left"/>
      <w:pPr>
        <w:tabs>
          <w:tab w:val="num" w:pos="5760"/>
        </w:tabs>
        <w:ind w:left="5760" w:hanging="360"/>
      </w:pPr>
      <w:rPr>
        <w:rFonts w:ascii="Ericsson Capital TT" w:hAnsi="Ericsson Capital TT" w:hint="default"/>
      </w:rPr>
    </w:lvl>
    <w:lvl w:ilvl="8" w:tplc="0EB20DDC" w:tentative="1">
      <w:start w:val="1"/>
      <w:numFmt w:val="bullet"/>
      <w:lvlText w:val="–"/>
      <w:lvlJc w:val="left"/>
      <w:pPr>
        <w:tabs>
          <w:tab w:val="num" w:pos="6480"/>
        </w:tabs>
        <w:ind w:left="6480" w:hanging="360"/>
      </w:pPr>
      <w:rPr>
        <w:rFonts w:ascii="Ericsson Capital TT" w:hAnsi="Ericsson Capital TT"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F16D0"/>
    <w:multiLevelType w:val="hybridMultilevel"/>
    <w:tmpl w:val="BDBA0F5C"/>
    <w:lvl w:ilvl="0" w:tplc="BE066252">
      <w:start w:val="1"/>
      <w:numFmt w:val="bullet"/>
      <w:lvlText w:val="›"/>
      <w:lvlJc w:val="left"/>
      <w:pPr>
        <w:tabs>
          <w:tab w:val="num" w:pos="720"/>
        </w:tabs>
        <w:ind w:left="720" w:hanging="360"/>
      </w:pPr>
      <w:rPr>
        <w:rFonts w:ascii="Arial" w:hAnsi="Arial" w:hint="default"/>
      </w:rPr>
    </w:lvl>
    <w:lvl w:ilvl="1" w:tplc="559CC73A">
      <w:start w:val="55"/>
      <w:numFmt w:val="bullet"/>
      <w:lvlText w:val="–"/>
      <w:lvlJc w:val="left"/>
      <w:pPr>
        <w:tabs>
          <w:tab w:val="num" w:pos="1440"/>
        </w:tabs>
        <w:ind w:left="1440" w:hanging="360"/>
      </w:pPr>
      <w:rPr>
        <w:rFonts w:ascii="Ericsson Capital TT" w:hAnsi="Ericsson Capital TT" w:hint="default"/>
      </w:rPr>
    </w:lvl>
    <w:lvl w:ilvl="2" w:tplc="B3FE8C48" w:tentative="1">
      <w:start w:val="1"/>
      <w:numFmt w:val="bullet"/>
      <w:lvlText w:val="›"/>
      <w:lvlJc w:val="left"/>
      <w:pPr>
        <w:tabs>
          <w:tab w:val="num" w:pos="2160"/>
        </w:tabs>
        <w:ind w:left="2160" w:hanging="360"/>
      </w:pPr>
      <w:rPr>
        <w:rFonts w:ascii="Arial" w:hAnsi="Arial" w:hint="default"/>
      </w:rPr>
    </w:lvl>
    <w:lvl w:ilvl="3" w:tplc="4C26B458" w:tentative="1">
      <w:start w:val="1"/>
      <w:numFmt w:val="bullet"/>
      <w:lvlText w:val="›"/>
      <w:lvlJc w:val="left"/>
      <w:pPr>
        <w:tabs>
          <w:tab w:val="num" w:pos="2880"/>
        </w:tabs>
        <w:ind w:left="2880" w:hanging="360"/>
      </w:pPr>
      <w:rPr>
        <w:rFonts w:ascii="Arial" w:hAnsi="Arial" w:hint="default"/>
      </w:rPr>
    </w:lvl>
    <w:lvl w:ilvl="4" w:tplc="4BF8C710" w:tentative="1">
      <w:start w:val="1"/>
      <w:numFmt w:val="bullet"/>
      <w:lvlText w:val="›"/>
      <w:lvlJc w:val="left"/>
      <w:pPr>
        <w:tabs>
          <w:tab w:val="num" w:pos="3600"/>
        </w:tabs>
        <w:ind w:left="3600" w:hanging="360"/>
      </w:pPr>
      <w:rPr>
        <w:rFonts w:ascii="Arial" w:hAnsi="Arial" w:hint="default"/>
      </w:rPr>
    </w:lvl>
    <w:lvl w:ilvl="5" w:tplc="444441D4" w:tentative="1">
      <w:start w:val="1"/>
      <w:numFmt w:val="bullet"/>
      <w:lvlText w:val="›"/>
      <w:lvlJc w:val="left"/>
      <w:pPr>
        <w:tabs>
          <w:tab w:val="num" w:pos="4320"/>
        </w:tabs>
        <w:ind w:left="4320" w:hanging="360"/>
      </w:pPr>
      <w:rPr>
        <w:rFonts w:ascii="Arial" w:hAnsi="Arial" w:hint="default"/>
      </w:rPr>
    </w:lvl>
    <w:lvl w:ilvl="6" w:tplc="F38CFB18" w:tentative="1">
      <w:start w:val="1"/>
      <w:numFmt w:val="bullet"/>
      <w:lvlText w:val="›"/>
      <w:lvlJc w:val="left"/>
      <w:pPr>
        <w:tabs>
          <w:tab w:val="num" w:pos="5040"/>
        </w:tabs>
        <w:ind w:left="5040" w:hanging="360"/>
      </w:pPr>
      <w:rPr>
        <w:rFonts w:ascii="Arial" w:hAnsi="Arial" w:hint="default"/>
      </w:rPr>
    </w:lvl>
    <w:lvl w:ilvl="7" w:tplc="6E308432" w:tentative="1">
      <w:start w:val="1"/>
      <w:numFmt w:val="bullet"/>
      <w:lvlText w:val="›"/>
      <w:lvlJc w:val="left"/>
      <w:pPr>
        <w:tabs>
          <w:tab w:val="num" w:pos="5760"/>
        </w:tabs>
        <w:ind w:left="5760" w:hanging="360"/>
      </w:pPr>
      <w:rPr>
        <w:rFonts w:ascii="Arial" w:hAnsi="Arial" w:hint="default"/>
      </w:rPr>
    </w:lvl>
    <w:lvl w:ilvl="8" w:tplc="1B8E9CD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86C1254"/>
    <w:multiLevelType w:val="hybridMultilevel"/>
    <w:tmpl w:val="B6E6458A"/>
    <w:lvl w:ilvl="0" w:tplc="28CED29E">
      <w:start w:val="1"/>
      <w:numFmt w:val="bullet"/>
      <w:lvlText w:val="–"/>
      <w:lvlJc w:val="left"/>
      <w:pPr>
        <w:tabs>
          <w:tab w:val="num" w:pos="720"/>
        </w:tabs>
        <w:ind w:left="720" w:hanging="360"/>
      </w:pPr>
      <w:rPr>
        <w:rFonts w:ascii="Ericsson Capital TT" w:hAnsi="Ericsson Capital TT" w:hint="default"/>
      </w:rPr>
    </w:lvl>
    <w:lvl w:ilvl="1" w:tplc="8C40161A">
      <w:start w:val="1"/>
      <w:numFmt w:val="bullet"/>
      <w:lvlText w:val="–"/>
      <w:lvlJc w:val="left"/>
      <w:pPr>
        <w:tabs>
          <w:tab w:val="num" w:pos="1440"/>
        </w:tabs>
        <w:ind w:left="1440" w:hanging="360"/>
      </w:pPr>
      <w:rPr>
        <w:rFonts w:ascii="Ericsson Capital TT" w:hAnsi="Ericsson Capital TT" w:hint="default"/>
      </w:rPr>
    </w:lvl>
    <w:lvl w:ilvl="2" w:tplc="269C8862" w:tentative="1">
      <w:start w:val="1"/>
      <w:numFmt w:val="bullet"/>
      <w:lvlText w:val="–"/>
      <w:lvlJc w:val="left"/>
      <w:pPr>
        <w:tabs>
          <w:tab w:val="num" w:pos="2160"/>
        </w:tabs>
        <w:ind w:left="2160" w:hanging="360"/>
      </w:pPr>
      <w:rPr>
        <w:rFonts w:ascii="Ericsson Capital TT" w:hAnsi="Ericsson Capital TT" w:hint="default"/>
      </w:rPr>
    </w:lvl>
    <w:lvl w:ilvl="3" w:tplc="79A0880A" w:tentative="1">
      <w:start w:val="1"/>
      <w:numFmt w:val="bullet"/>
      <w:lvlText w:val="–"/>
      <w:lvlJc w:val="left"/>
      <w:pPr>
        <w:tabs>
          <w:tab w:val="num" w:pos="2880"/>
        </w:tabs>
        <w:ind w:left="2880" w:hanging="360"/>
      </w:pPr>
      <w:rPr>
        <w:rFonts w:ascii="Ericsson Capital TT" w:hAnsi="Ericsson Capital TT" w:hint="default"/>
      </w:rPr>
    </w:lvl>
    <w:lvl w:ilvl="4" w:tplc="7B469214" w:tentative="1">
      <w:start w:val="1"/>
      <w:numFmt w:val="bullet"/>
      <w:lvlText w:val="–"/>
      <w:lvlJc w:val="left"/>
      <w:pPr>
        <w:tabs>
          <w:tab w:val="num" w:pos="3600"/>
        </w:tabs>
        <w:ind w:left="3600" w:hanging="360"/>
      </w:pPr>
      <w:rPr>
        <w:rFonts w:ascii="Ericsson Capital TT" w:hAnsi="Ericsson Capital TT" w:hint="default"/>
      </w:rPr>
    </w:lvl>
    <w:lvl w:ilvl="5" w:tplc="A51CB2C4" w:tentative="1">
      <w:start w:val="1"/>
      <w:numFmt w:val="bullet"/>
      <w:lvlText w:val="–"/>
      <w:lvlJc w:val="left"/>
      <w:pPr>
        <w:tabs>
          <w:tab w:val="num" w:pos="4320"/>
        </w:tabs>
        <w:ind w:left="4320" w:hanging="360"/>
      </w:pPr>
      <w:rPr>
        <w:rFonts w:ascii="Ericsson Capital TT" w:hAnsi="Ericsson Capital TT" w:hint="default"/>
      </w:rPr>
    </w:lvl>
    <w:lvl w:ilvl="6" w:tplc="7F9031C4" w:tentative="1">
      <w:start w:val="1"/>
      <w:numFmt w:val="bullet"/>
      <w:lvlText w:val="–"/>
      <w:lvlJc w:val="left"/>
      <w:pPr>
        <w:tabs>
          <w:tab w:val="num" w:pos="5040"/>
        </w:tabs>
        <w:ind w:left="5040" w:hanging="360"/>
      </w:pPr>
      <w:rPr>
        <w:rFonts w:ascii="Ericsson Capital TT" w:hAnsi="Ericsson Capital TT" w:hint="default"/>
      </w:rPr>
    </w:lvl>
    <w:lvl w:ilvl="7" w:tplc="8020CB4A" w:tentative="1">
      <w:start w:val="1"/>
      <w:numFmt w:val="bullet"/>
      <w:lvlText w:val="–"/>
      <w:lvlJc w:val="left"/>
      <w:pPr>
        <w:tabs>
          <w:tab w:val="num" w:pos="5760"/>
        </w:tabs>
        <w:ind w:left="5760" w:hanging="360"/>
      </w:pPr>
      <w:rPr>
        <w:rFonts w:ascii="Ericsson Capital TT" w:hAnsi="Ericsson Capital TT" w:hint="default"/>
      </w:rPr>
    </w:lvl>
    <w:lvl w:ilvl="8" w:tplc="68B8E1DC" w:tentative="1">
      <w:start w:val="1"/>
      <w:numFmt w:val="bullet"/>
      <w:lvlText w:val="–"/>
      <w:lvlJc w:val="left"/>
      <w:pPr>
        <w:tabs>
          <w:tab w:val="num" w:pos="6480"/>
        </w:tabs>
        <w:ind w:left="6480" w:hanging="360"/>
      </w:pPr>
      <w:rPr>
        <w:rFonts w:ascii="Ericsson Capital TT" w:hAnsi="Ericsson Capital TT"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415BD"/>
    <w:multiLevelType w:val="hybridMultilevel"/>
    <w:tmpl w:val="6576DBD6"/>
    <w:lvl w:ilvl="0" w:tplc="6E2ABBA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9E42AF"/>
    <w:multiLevelType w:val="hybridMultilevel"/>
    <w:tmpl w:val="EED4052C"/>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5000BB"/>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FC6C3C"/>
    <w:multiLevelType w:val="hybridMultilevel"/>
    <w:tmpl w:val="90326322"/>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DE038C"/>
    <w:multiLevelType w:val="hybridMultilevel"/>
    <w:tmpl w:val="3D8CB450"/>
    <w:lvl w:ilvl="0" w:tplc="F8E40FB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085E52"/>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C03F4E"/>
    <w:multiLevelType w:val="hybridMultilevel"/>
    <w:tmpl w:val="9ED85C9A"/>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3723879"/>
    <w:multiLevelType w:val="hybridMultilevel"/>
    <w:tmpl w:val="9DCE7E08"/>
    <w:lvl w:ilvl="0" w:tplc="5FE678CC">
      <w:start w:val="1"/>
      <w:numFmt w:val="bullet"/>
      <w:lvlText w:val="›"/>
      <w:lvlJc w:val="left"/>
      <w:pPr>
        <w:tabs>
          <w:tab w:val="num" w:pos="720"/>
        </w:tabs>
        <w:ind w:left="720" w:hanging="360"/>
      </w:pPr>
      <w:rPr>
        <w:rFonts w:ascii="Arial" w:hAnsi="Arial" w:hint="default"/>
        <w:lang w:val="en-GB"/>
      </w:rPr>
    </w:lvl>
    <w:lvl w:ilvl="1" w:tplc="DCEAB20A">
      <w:start w:val="1780"/>
      <w:numFmt w:val="bullet"/>
      <w:lvlText w:val="–"/>
      <w:lvlJc w:val="left"/>
      <w:pPr>
        <w:tabs>
          <w:tab w:val="num" w:pos="1440"/>
        </w:tabs>
        <w:ind w:left="1440" w:hanging="360"/>
      </w:pPr>
      <w:rPr>
        <w:rFonts w:ascii="Ericsson Capital TT" w:hAnsi="Ericsson Capital TT" w:hint="default"/>
        <w:lang w:val="en-GB"/>
      </w:rPr>
    </w:lvl>
    <w:lvl w:ilvl="2" w:tplc="8F46FA08" w:tentative="1">
      <w:start w:val="1"/>
      <w:numFmt w:val="bullet"/>
      <w:lvlText w:val="›"/>
      <w:lvlJc w:val="left"/>
      <w:pPr>
        <w:tabs>
          <w:tab w:val="num" w:pos="2160"/>
        </w:tabs>
        <w:ind w:left="2160" w:hanging="360"/>
      </w:pPr>
      <w:rPr>
        <w:rFonts w:ascii="Arial" w:hAnsi="Arial" w:hint="default"/>
      </w:rPr>
    </w:lvl>
    <w:lvl w:ilvl="3" w:tplc="9C5AC722" w:tentative="1">
      <w:start w:val="1"/>
      <w:numFmt w:val="bullet"/>
      <w:lvlText w:val="›"/>
      <w:lvlJc w:val="left"/>
      <w:pPr>
        <w:tabs>
          <w:tab w:val="num" w:pos="2880"/>
        </w:tabs>
        <w:ind w:left="2880" w:hanging="360"/>
      </w:pPr>
      <w:rPr>
        <w:rFonts w:ascii="Arial" w:hAnsi="Arial" w:hint="default"/>
      </w:rPr>
    </w:lvl>
    <w:lvl w:ilvl="4" w:tplc="DBC2471A" w:tentative="1">
      <w:start w:val="1"/>
      <w:numFmt w:val="bullet"/>
      <w:lvlText w:val="›"/>
      <w:lvlJc w:val="left"/>
      <w:pPr>
        <w:tabs>
          <w:tab w:val="num" w:pos="3600"/>
        </w:tabs>
        <w:ind w:left="3600" w:hanging="360"/>
      </w:pPr>
      <w:rPr>
        <w:rFonts w:ascii="Arial" w:hAnsi="Arial" w:hint="default"/>
      </w:rPr>
    </w:lvl>
    <w:lvl w:ilvl="5" w:tplc="43208E3A" w:tentative="1">
      <w:start w:val="1"/>
      <w:numFmt w:val="bullet"/>
      <w:lvlText w:val="›"/>
      <w:lvlJc w:val="left"/>
      <w:pPr>
        <w:tabs>
          <w:tab w:val="num" w:pos="4320"/>
        </w:tabs>
        <w:ind w:left="4320" w:hanging="360"/>
      </w:pPr>
      <w:rPr>
        <w:rFonts w:ascii="Arial" w:hAnsi="Arial" w:hint="default"/>
      </w:rPr>
    </w:lvl>
    <w:lvl w:ilvl="6" w:tplc="AC56D38C" w:tentative="1">
      <w:start w:val="1"/>
      <w:numFmt w:val="bullet"/>
      <w:lvlText w:val="›"/>
      <w:lvlJc w:val="left"/>
      <w:pPr>
        <w:tabs>
          <w:tab w:val="num" w:pos="5040"/>
        </w:tabs>
        <w:ind w:left="5040" w:hanging="360"/>
      </w:pPr>
      <w:rPr>
        <w:rFonts w:ascii="Arial" w:hAnsi="Arial" w:hint="default"/>
      </w:rPr>
    </w:lvl>
    <w:lvl w:ilvl="7" w:tplc="41D023A2" w:tentative="1">
      <w:start w:val="1"/>
      <w:numFmt w:val="bullet"/>
      <w:lvlText w:val="›"/>
      <w:lvlJc w:val="left"/>
      <w:pPr>
        <w:tabs>
          <w:tab w:val="num" w:pos="5760"/>
        </w:tabs>
        <w:ind w:left="5760" w:hanging="360"/>
      </w:pPr>
      <w:rPr>
        <w:rFonts w:ascii="Arial" w:hAnsi="Arial" w:hint="default"/>
      </w:rPr>
    </w:lvl>
    <w:lvl w:ilvl="8" w:tplc="8240460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0D02D8"/>
    <w:multiLevelType w:val="hybridMultilevel"/>
    <w:tmpl w:val="FAB80EBC"/>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18"/>
  </w:num>
  <w:num w:numId="4">
    <w:abstractNumId w:val="21"/>
  </w:num>
  <w:num w:numId="5">
    <w:abstractNumId w:val="15"/>
  </w:num>
  <w:num w:numId="6">
    <w:abstractNumId w:val="23"/>
  </w:num>
  <w:num w:numId="7">
    <w:abstractNumId w:val="30"/>
  </w:num>
  <w:num w:numId="8">
    <w:abstractNumId w:val="16"/>
  </w:num>
  <w:num w:numId="9">
    <w:abstractNumId w:val="14"/>
  </w:num>
  <w:num w:numId="10">
    <w:abstractNumId w:val="2"/>
  </w:num>
  <w:num w:numId="11">
    <w:abstractNumId w:val="1"/>
  </w:num>
  <w:num w:numId="12">
    <w:abstractNumId w:val="0"/>
  </w:num>
  <w:num w:numId="13">
    <w:abstractNumId w:val="27"/>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36"/>
  </w:num>
  <w:num w:numId="17">
    <w:abstractNumId w:val="28"/>
  </w:num>
  <w:num w:numId="18">
    <w:abstractNumId w:val="13"/>
  </w:num>
  <w:num w:numId="19">
    <w:abstractNumId w:val="18"/>
  </w:num>
  <w:num w:numId="20">
    <w:abstractNumId w:val="33"/>
  </w:num>
  <w:num w:numId="21">
    <w:abstractNumId w:val="5"/>
  </w:num>
  <w:num w:numId="22">
    <w:abstractNumId w:val="37"/>
  </w:num>
  <w:num w:numId="23">
    <w:abstractNumId w:val="35"/>
  </w:num>
  <w:num w:numId="24">
    <w:abstractNumId w:val="11"/>
  </w:num>
  <w:num w:numId="25">
    <w:abstractNumId w:val="34"/>
  </w:num>
  <w:num w:numId="26">
    <w:abstractNumId w:val="18"/>
    <w:lvlOverride w:ilvl="0">
      <w:startOverride w:val="1"/>
    </w:lvlOverride>
  </w:num>
  <w:num w:numId="27">
    <w:abstractNumId w:val="31"/>
  </w:num>
  <w:num w:numId="28">
    <w:abstractNumId w:val="20"/>
  </w:num>
  <w:num w:numId="29">
    <w:abstractNumId w:val="22"/>
  </w:num>
  <w:num w:numId="30">
    <w:abstractNumId w:val="12"/>
  </w:num>
  <w:num w:numId="31">
    <w:abstractNumId w:val="24"/>
  </w:num>
  <w:num w:numId="32">
    <w:abstractNumId w:val="4"/>
  </w:num>
  <w:num w:numId="33">
    <w:abstractNumId w:val="25"/>
  </w:num>
  <w:num w:numId="34">
    <w:abstractNumId w:val="10"/>
  </w:num>
  <w:num w:numId="35">
    <w:abstractNumId w:val="7"/>
  </w:num>
  <w:num w:numId="36">
    <w:abstractNumId w:val="19"/>
  </w:num>
  <w:num w:numId="37">
    <w:abstractNumId w:val="18"/>
    <w:lvlOverride w:ilvl="0">
      <w:startOverride w:val="1"/>
    </w:lvlOverride>
  </w:num>
  <w:num w:numId="38">
    <w:abstractNumId w:val="29"/>
  </w:num>
  <w:num w:numId="39">
    <w:abstractNumId w:val="9"/>
  </w:num>
  <w:num w:numId="40">
    <w:abstractNumId w:val="32"/>
  </w:num>
  <w:num w:numId="41">
    <w:abstractNumId w:val="18"/>
    <w:lvlOverride w:ilvl="0">
      <w:startOverride w:val="1"/>
    </w:lvlOverride>
  </w:num>
  <w:num w:numId="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0C2"/>
    <w:rsid w:val="00006446"/>
    <w:rsid w:val="00006896"/>
    <w:rsid w:val="00006B58"/>
    <w:rsid w:val="000072B5"/>
    <w:rsid w:val="00007CDC"/>
    <w:rsid w:val="00010397"/>
    <w:rsid w:val="00010E3F"/>
    <w:rsid w:val="00011B28"/>
    <w:rsid w:val="00014780"/>
    <w:rsid w:val="00015D15"/>
    <w:rsid w:val="00024D29"/>
    <w:rsid w:val="0002564D"/>
    <w:rsid w:val="00025ECA"/>
    <w:rsid w:val="00027939"/>
    <w:rsid w:val="000325B8"/>
    <w:rsid w:val="00034C15"/>
    <w:rsid w:val="00036BA1"/>
    <w:rsid w:val="000376BC"/>
    <w:rsid w:val="000422E2"/>
    <w:rsid w:val="0004243D"/>
    <w:rsid w:val="00042F22"/>
    <w:rsid w:val="000444EF"/>
    <w:rsid w:val="0004676E"/>
    <w:rsid w:val="0005087B"/>
    <w:rsid w:val="00052A07"/>
    <w:rsid w:val="000534E3"/>
    <w:rsid w:val="0005606A"/>
    <w:rsid w:val="00057117"/>
    <w:rsid w:val="000616E7"/>
    <w:rsid w:val="0006487E"/>
    <w:rsid w:val="00065E1A"/>
    <w:rsid w:val="00072023"/>
    <w:rsid w:val="00077E5F"/>
    <w:rsid w:val="0008036A"/>
    <w:rsid w:val="00081AE6"/>
    <w:rsid w:val="00081D62"/>
    <w:rsid w:val="000855EB"/>
    <w:rsid w:val="00085B52"/>
    <w:rsid w:val="00085CCC"/>
    <w:rsid w:val="000866F2"/>
    <w:rsid w:val="0009009F"/>
    <w:rsid w:val="00091557"/>
    <w:rsid w:val="000924C1"/>
    <w:rsid w:val="000924F0"/>
    <w:rsid w:val="00092A72"/>
    <w:rsid w:val="00093474"/>
    <w:rsid w:val="0009510F"/>
    <w:rsid w:val="000A0CA2"/>
    <w:rsid w:val="000A1B7B"/>
    <w:rsid w:val="000A56F2"/>
    <w:rsid w:val="000B010B"/>
    <w:rsid w:val="000B2719"/>
    <w:rsid w:val="000B3A8F"/>
    <w:rsid w:val="000B4AB9"/>
    <w:rsid w:val="000B58C3"/>
    <w:rsid w:val="000B61E9"/>
    <w:rsid w:val="000C165A"/>
    <w:rsid w:val="000C2D7E"/>
    <w:rsid w:val="000C2E19"/>
    <w:rsid w:val="000C6BC7"/>
    <w:rsid w:val="000D0D07"/>
    <w:rsid w:val="000D1B45"/>
    <w:rsid w:val="000D326B"/>
    <w:rsid w:val="000D32A1"/>
    <w:rsid w:val="000D4797"/>
    <w:rsid w:val="000D7FFD"/>
    <w:rsid w:val="000E0527"/>
    <w:rsid w:val="000E1E92"/>
    <w:rsid w:val="000E461A"/>
    <w:rsid w:val="000F06D6"/>
    <w:rsid w:val="000F0EB1"/>
    <w:rsid w:val="000F1106"/>
    <w:rsid w:val="000F3BE9"/>
    <w:rsid w:val="000F3F6C"/>
    <w:rsid w:val="000F6A1E"/>
    <w:rsid w:val="000F6DF3"/>
    <w:rsid w:val="001005FF"/>
    <w:rsid w:val="001062FB"/>
    <w:rsid w:val="001063E6"/>
    <w:rsid w:val="00110B33"/>
    <w:rsid w:val="00113CF4"/>
    <w:rsid w:val="001153EA"/>
    <w:rsid w:val="00115643"/>
    <w:rsid w:val="00116765"/>
    <w:rsid w:val="00120CD4"/>
    <w:rsid w:val="001219F5"/>
    <w:rsid w:val="00121A20"/>
    <w:rsid w:val="00122F2E"/>
    <w:rsid w:val="0012377F"/>
    <w:rsid w:val="00124314"/>
    <w:rsid w:val="00126B4A"/>
    <w:rsid w:val="00132FD0"/>
    <w:rsid w:val="001344C0"/>
    <w:rsid w:val="001346FA"/>
    <w:rsid w:val="00135252"/>
    <w:rsid w:val="00137AB5"/>
    <w:rsid w:val="00137F0B"/>
    <w:rsid w:val="0014650D"/>
    <w:rsid w:val="00151E23"/>
    <w:rsid w:val="001526E0"/>
    <w:rsid w:val="001551B5"/>
    <w:rsid w:val="001643A8"/>
    <w:rsid w:val="001659C1"/>
    <w:rsid w:val="00173995"/>
    <w:rsid w:val="00173A8E"/>
    <w:rsid w:val="00177795"/>
    <w:rsid w:val="0018143F"/>
    <w:rsid w:val="00183EE0"/>
    <w:rsid w:val="00185DCF"/>
    <w:rsid w:val="00190AC1"/>
    <w:rsid w:val="0019242C"/>
    <w:rsid w:val="0019341A"/>
    <w:rsid w:val="001959B4"/>
    <w:rsid w:val="00196B5E"/>
    <w:rsid w:val="00197DF9"/>
    <w:rsid w:val="001A1987"/>
    <w:rsid w:val="001A2564"/>
    <w:rsid w:val="001A2D48"/>
    <w:rsid w:val="001A3C99"/>
    <w:rsid w:val="001A5E7F"/>
    <w:rsid w:val="001A6173"/>
    <w:rsid w:val="001A6CBA"/>
    <w:rsid w:val="001B0D97"/>
    <w:rsid w:val="001B148F"/>
    <w:rsid w:val="001B2C40"/>
    <w:rsid w:val="001B4D93"/>
    <w:rsid w:val="001B5A5D"/>
    <w:rsid w:val="001B5D49"/>
    <w:rsid w:val="001C1CE5"/>
    <w:rsid w:val="001C3D2A"/>
    <w:rsid w:val="001C6495"/>
    <w:rsid w:val="001D0271"/>
    <w:rsid w:val="001D274A"/>
    <w:rsid w:val="001D51BA"/>
    <w:rsid w:val="001D6342"/>
    <w:rsid w:val="001D6D53"/>
    <w:rsid w:val="001E0A77"/>
    <w:rsid w:val="001E310E"/>
    <w:rsid w:val="001E58E2"/>
    <w:rsid w:val="001E7AED"/>
    <w:rsid w:val="001F3916"/>
    <w:rsid w:val="001F54C5"/>
    <w:rsid w:val="001F5C52"/>
    <w:rsid w:val="001F662C"/>
    <w:rsid w:val="001F7074"/>
    <w:rsid w:val="001F72FE"/>
    <w:rsid w:val="001F74A2"/>
    <w:rsid w:val="00200490"/>
    <w:rsid w:val="00201F3A"/>
    <w:rsid w:val="00203F96"/>
    <w:rsid w:val="00204372"/>
    <w:rsid w:val="002069B2"/>
    <w:rsid w:val="00207FA3"/>
    <w:rsid w:val="002113AD"/>
    <w:rsid w:val="00212AEE"/>
    <w:rsid w:val="00214DA8"/>
    <w:rsid w:val="00215423"/>
    <w:rsid w:val="002158FA"/>
    <w:rsid w:val="00216201"/>
    <w:rsid w:val="002176CE"/>
    <w:rsid w:val="00220600"/>
    <w:rsid w:val="002224DB"/>
    <w:rsid w:val="00223FCB"/>
    <w:rsid w:val="002252C3"/>
    <w:rsid w:val="00225C54"/>
    <w:rsid w:val="00230765"/>
    <w:rsid w:val="0023085B"/>
    <w:rsid w:val="002319E4"/>
    <w:rsid w:val="00235632"/>
    <w:rsid w:val="00235872"/>
    <w:rsid w:val="00241559"/>
    <w:rsid w:val="00242F1F"/>
    <w:rsid w:val="002435B3"/>
    <w:rsid w:val="002458EB"/>
    <w:rsid w:val="002500C8"/>
    <w:rsid w:val="00256DAD"/>
    <w:rsid w:val="00257543"/>
    <w:rsid w:val="00257C9E"/>
    <w:rsid w:val="002617E7"/>
    <w:rsid w:val="00261FC8"/>
    <w:rsid w:val="00264228"/>
    <w:rsid w:val="00264334"/>
    <w:rsid w:val="0026473E"/>
    <w:rsid w:val="00266214"/>
    <w:rsid w:val="00267C83"/>
    <w:rsid w:val="002705DE"/>
    <w:rsid w:val="0027144F"/>
    <w:rsid w:val="00271F3A"/>
    <w:rsid w:val="00273278"/>
    <w:rsid w:val="002737F4"/>
    <w:rsid w:val="002805F5"/>
    <w:rsid w:val="00280751"/>
    <w:rsid w:val="0028280A"/>
    <w:rsid w:val="00283836"/>
    <w:rsid w:val="00286ACD"/>
    <w:rsid w:val="00287838"/>
    <w:rsid w:val="002907B5"/>
    <w:rsid w:val="00291562"/>
    <w:rsid w:val="00291B6E"/>
    <w:rsid w:val="00292EB7"/>
    <w:rsid w:val="00296227"/>
    <w:rsid w:val="00296F44"/>
    <w:rsid w:val="0029776A"/>
    <w:rsid w:val="0029777D"/>
    <w:rsid w:val="002A055E"/>
    <w:rsid w:val="002A1D4E"/>
    <w:rsid w:val="002A2869"/>
    <w:rsid w:val="002B0D3E"/>
    <w:rsid w:val="002B223F"/>
    <w:rsid w:val="002B24D6"/>
    <w:rsid w:val="002B688A"/>
    <w:rsid w:val="002C1899"/>
    <w:rsid w:val="002C41E6"/>
    <w:rsid w:val="002C5255"/>
    <w:rsid w:val="002D071A"/>
    <w:rsid w:val="002D34B2"/>
    <w:rsid w:val="002D7637"/>
    <w:rsid w:val="002E17F2"/>
    <w:rsid w:val="002E3EA2"/>
    <w:rsid w:val="002E7CAE"/>
    <w:rsid w:val="002F0BA2"/>
    <w:rsid w:val="002F2734"/>
    <w:rsid w:val="002F2771"/>
    <w:rsid w:val="002F37A9"/>
    <w:rsid w:val="00301CE6"/>
    <w:rsid w:val="003021D5"/>
    <w:rsid w:val="0030256B"/>
    <w:rsid w:val="00303BD7"/>
    <w:rsid w:val="0030435A"/>
    <w:rsid w:val="0030501F"/>
    <w:rsid w:val="003065F6"/>
    <w:rsid w:val="00307BA1"/>
    <w:rsid w:val="003114F4"/>
    <w:rsid w:val="00311702"/>
    <w:rsid w:val="00311E82"/>
    <w:rsid w:val="00312FF4"/>
    <w:rsid w:val="00313FD6"/>
    <w:rsid w:val="003143BD"/>
    <w:rsid w:val="003203ED"/>
    <w:rsid w:val="003210B4"/>
    <w:rsid w:val="00321307"/>
    <w:rsid w:val="00322C9F"/>
    <w:rsid w:val="00324D23"/>
    <w:rsid w:val="00330666"/>
    <w:rsid w:val="00331751"/>
    <w:rsid w:val="00334579"/>
    <w:rsid w:val="00334AF2"/>
    <w:rsid w:val="00335858"/>
    <w:rsid w:val="00336BDA"/>
    <w:rsid w:val="00336DAC"/>
    <w:rsid w:val="00342BD7"/>
    <w:rsid w:val="00343A07"/>
    <w:rsid w:val="0034475E"/>
    <w:rsid w:val="00346DB5"/>
    <w:rsid w:val="00347296"/>
    <w:rsid w:val="003477B1"/>
    <w:rsid w:val="00350DD4"/>
    <w:rsid w:val="0035482C"/>
    <w:rsid w:val="00357380"/>
    <w:rsid w:val="003602D9"/>
    <w:rsid w:val="003604CE"/>
    <w:rsid w:val="0036137D"/>
    <w:rsid w:val="00367F1E"/>
    <w:rsid w:val="00370E47"/>
    <w:rsid w:val="00373180"/>
    <w:rsid w:val="003742AC"/>
    <w:rsid w:val="00377CE1"/>
    <w:rsid w:val="003806FB"/>
    <w:rsid w:val="00385BF0"/>
    <w:rsid w:val="0039042B"/>
    <w:rsid w:val="003939FF"/>
    <w:rsid w:val="003A2223"/>
    <w:rsid w:val="003A2A0F"/>
    <w:rsid w:val="003A45A1"/>
    <w:rsid w:val="003A5B0A"/>
    <w:rsid w:val="003A6BAC"/>
    <w:rsid w:val="003A7EF3"/>
    <w:rsid w:val="003B159C"/>
    <w:rsid w:val="003B369F"/>
    <w:rsid w:val="003B36A3"/>
    <w:rsid w:val="003B46C4"/>
    <w:rsid w:val="003B5DF1"/>
    <w:rsid w:val="003B7FE5"/>
    <w:rsid w:val="003C058D"/>
    <w:rsid w:val="003C11C8"/>
    <w:rsid w:val="003C2702"/>
    <w:rsid w:val="003C306E"/>
    <w:rsid w:val="003C5162"/>
    <w:rsid w:val="003C7806"/>
    <w:rsid w:val="003D109F"/>
    <w:rsid w:val="003D2477"/>
    <w:rsid w:val="003D2478"/>
    <w:rsid w:val="003D2FC4"/>
    <w:rsid w:val="003D3C45"/>
    <w:rsid w:val="003D5B1F"/>
    <w:rsid w:val="003E15FA"/>
    <w:rsid w:val="003E55E4"/>
    <w:rsid w:val="003E5A09"/>
    <w:rsid w:val="003E74E3"/>
    <w:rsid w:val="003E7B80"/>
    <w:rsid w:val="003F01DB"/>
    <w:rsid w:val="003F05C7"/>
    <w:rsid w:val="003F11B0"/>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263E"/>
    <w:rsid w:val="00413AAC"/>
    <w:rsid w:val="004158C2"/>
    <w:rsid w:val="00420897"/>
    <w:rsid w:val="00421105"/>
    <w:rsid w:val="004242F4"/>
    <w:rsid w:val="00427248"/>
    <w:rsid w:val="00437447"/>
    <w:rsid w:val="00441A92"/>
    <w:rsid w:val="00444F56"/>
    <w:rsid w:val="00446488"/>
    <w:rsid w:val="004517AA"/>
    <w:rsid w:val="00452CAC"/>
    <w:rsid w:val="00455AD1"/>
    <w:rsid w:val="00457565"/>
    <w:rsid w:val="00457B71"/>
    <w:rsid w:val="004603F5"/>
    <w:rsid w:val="00465F3A"/>
    <w:rsid w:val="004669E2"/>
    <w:rsid w:val="00470C31"/>
    <w:rsid w:val="0047217C"/>
    <w:rsid w:val="004734D0"/>
    <w:rsid w:val="0047556B"/>
    <w:rsid w:val="00477768"/>
    <w:rsid w:val="00485A23"/>
    <w:rsid w:val="00492BC5"/>
    <w:rsid w:val="004964F1"/>
    <w:rsid w:val="004A0199"/>
    <w:rsid w:val="004A07A0"/>
    <w:rsid w:val="004A16BC"/>
    <w:rsid w:val="004A2B94"/>
    <w:rsid w:val="004A7A8C"/>
    <w:rsid w:val="004B7C0C"/>
    <w:rsid w:val="004C1B75"/>
    <w:rsid w:val="004C2F28"/>
    <w:rsid w:val="004C3898"/>
    <w:rsid w:val="004C41AE"/>
    <w:rsid w:val="004D36B1"/>
    <w:rsid w:val="004D6406"/>
    <w:rsid w:val="004D7EBD"/>
    <w:rsid w:val="004E2680"/>
    <w:rsid w:val="004E28F9"/>
    <w:rsid w:val="004E462E"/>
    <w:rsid w:val="004E56DC"/>
    <w:rsid w:val="004E76F4"/>
    <w:rsid w:val="004F0B4E"/>
    <w:rsid w:val="004F0B6C"/>
    <w:rsid w:val="004F2078"/>
    <w:rsid w:val="004F4DA3"/>
    <w:rsid w:val="004F62A7"/>
    <w:rsid w:val="005032AF"/>
    <w:rsid w:val="00506557"/>
    <w:rsid w:val="0050677A"/>
    <w:rsid w:val="005108D8"/>
    <w:rsid w:val="005116F9"/>
    <w:rsid w:val="00514F48"/>
    <w:rsid w:val="005153A7"/>
    <w:rsid w:val="00517DC6"/>
    <w:rsid w:val="005219CF"/>
    <w:rsid w:val="00523EA0"/>
    <w:rsid w:val="0052428F"/>
    <w:rsid w:val="00524688"/>
    <w:rsid w:val="00534B59"/>
    <w:rsid w:val="00536759"/>
    <w:rsid w:val="00536B1A"/>
    <w:rsid w:val="00537C62"/>
    <w:rsid w:val="00546970"/>
    <w:rsid w:val="005501C2"/>
    <w:rsid w:val="00551BA0"/>
    <w:rsid w:val="00554E19"/>
    <w:rsid w:val="0055635A"/>
    <w:rsid w:val="0055719E"/>
    <w:rsid w:val="0056121F"/>
    <w:rsid w:val="00563637"/>
    <w:rsid w:val="00572505"/>
    <w:rsid w:val="00581993"/>
    <w:rsid w:val="00582809"/>
    <w:rsid w:val="0058318F"/>
    <w:rsid w:val="0058342B"/>
    <w:rsid w:val="00586998"/>
    <w:rsid w:val="0058798C"/>
    <w:rsid w:val="005900FA"/>
    <w:rsid w:val="005935A4"/>
    <w:rsid w:val="005948C2"/>
    <w:rsid w:val="00595DCA"/>
    <w:rsid w:val="0059779B"/>
    <w:rsid w:val="005A209A"/>
    <w:rsid w:val="005A2C57"/>
    <w:rsid w:val="005A662D"/>
    <w:rsid w:val="005A77B9"/>
    <w:rsid w:val="005B35D7"/>
    <w:rsid w:val="005B392A"/>
    <w:rsid w:val="005B3AA3"/>
    <w:rsid w:val="005B6F83"/>
    <w:rsid w:val="005C1BA7"/>
    <w:rsid w:val="005C74FB"/>
    <w:rsid w:val="005D1602"/>
    <w:rsid w:val="005D5B80"/>
    <w:rsid w:val="005E2BAF"/>
    <w:rsid w:val="005E385F"/>
    <w:rsid w:val="005E3B53"/>
    <w:rsid w:val="005E5B81"/>
    <w:rsid w:val="005E6827"/>
    <w:rsid w:val="005F2CB1"/>
    <w:rsid w:val="005F3025"/>
    <w:rsid w:val="005F34FB"/>
    <w:rsid w:val="005F618C"/>
    <w:rsid w:val="005F70BD"/>
    <w:rsid w:val="0060283C"/>
    <w:rsid w:val="0060316E"/>
    <w:rsid w:val="00604D02"/>
    <w:rsid w:val="00604F14"/>
    <w:rsid w:val="00605F62"/>
    <w:rsid w:val="00611B83"/>
    <w:rsid w:val="00613257"/>
    <w:rsid w:val="0061724A"/>
    <w:rsid w:val="00617A18"/>
    <w:rsid w:val="00617CAF"/>
    <w:rsid w:val="00620A71"/>
    <w:rsid w:val="00620D80"/>
    <w:rsid w:val="00622502"/>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5C6"/>
    <w:rsid w:val="00642F04"/>
    <w:rsid w:val="00643475"/>
    <w:rsid w:val="0064396A"/>
    <w:rsid w:val="0064624E"/>
    <w:rsid w:val="00650AB9"/>
    <w:rsid w:val="0065546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694A"/>
    <w:rsid w:val="006771F9"/>
    <w:rsid w:val="006776D7"/>
    <w:rsid w:val="00681003"/>
    <w:rsid w:val="006817C9"/>
    <w:rsid w:val="006819E2"/>
    <w:rsid w:val="00681CA8"/>
    <w:rsid w:val="00683ECE"/>
    <w:rsid w:val="0069133C"/>
    <w:rsid w:val="006938BB"/>
    <w:rsid w:val="006952D7"/>
    <w:rsid w:val="00695FC2"/>
    <w:rsid w:val="00696949"/>
    <w:rsid w:val="00697052"/>
    <w:rsid w:val="006A1E71"/>
    <w:rsid w:val="006A46FB"/>
    <w:rsid w:val="006A5E28"/>
    <w:rsid w:val="006A697B"/>
    <w:rsid w:val="006A7AFF"/>
    <w:rsid w:val="006B1816"/>
    <w:rsid w:val="006B2099"/>
    <w:rsid w:val="006B39F6"/>
    <w:rsid w:val="006B50CF"/>
    <w:rsid w:val="006C03B8"/>
    <w:rsid w:val="006C5EC9"/>
    <w:rsid w:val="006C6059"/>
    <w:rsid w:val="006C7391"/>
    <w:rsid w:val="006C7522"/>
    <w:rsid w:val="006D4F19"/>
    <w:rsid w:val="006D6F08"/>
    <w:rsid w:val="006E062C"/>
    <w:rsid w:val="006E28B7"/>
    <w:rsid w:val="006E3310"/>
    <w:rsid w:val="006E4E39"/>
    <w:rsid w:val="006E565E"/>
    <w:rsid w:val="006E673D"/>
    <w:rsid w:val="006E7D3B"/>
    <w:rsid w:val="006F1B70"/>
    <w:rsid w:val="006F341D"/>
    <w:rsid w:val="006F3CDE"/>
    <w:rsid w:val="006F58D4"/>
    <w:rsid w:val="007032B8"/>
    <w:rsid w:val="0070346E"/>
    <w:rsid w:val="00704EDB"/>
    <w:rsid w:val="0070537F"/>
    <w:rsid w:val="00706101"/>
    <w:rsid w:val="00707072"/>
    <w:rsid w:val="007075A7"/>
    <w:rsid w:val="00707D61"/>
    <w:rsid w:val="00711C83"/>
    <w:rsid w:val="00712287"/>
    <w:rsid w:val="00712772"/>
    <w:rsid w:val="007148D3"/>
    <w:rsid w:val="00715648"/>
    <w:rsid w:val="00715B9A"/>
    <w:rsid w:val="00715DF1"/>
    <w:rsid w:val="00721593"/>
    <w:rsid w:val="0072595C"/>
    <w:rsid w:val="00726EA6"/>
    <w:rsid w:val="00727208"/>
    <w:rsid w:val="00727680"/>
    <w:rsid w:val="00727F0A"/>
    <w:rsid w:val="00727F9E"/>
    <w:rsid w:val="007348B1"/>
    <w:rsid w:val="00734B23"/>
    <w:rsid w:val="007362A6"/>
    <w:rsid w:val="00736D7D"/>
    <w:rsid w:val="00737922"/>
    <w:rsid w:val="00740E58"/>
    <w:rsid w:val="007445A0"/>
    <w:rsid w:val="0074524B"/>
    <w:rsid w:val="00747D8B"/>
    <w:rsid w:val="00751228"/>
    <w:rsid w:val="00751613"/>
    <w:rsid w:val="00752C9C"/>
    <w:rsid w:val="00755CB6"/>
    <w:rsid w:val="007560C0"/>
    <w:rsid w:val="007571E1"/>
    <w:rsid w:val="007604B2"/>
    <w:rsid w:val="00765281"/>
    <w:rsid w:val="00766BAD"/>
    <w:rsid w:val="007730BD"/>
    <w:rsid w:val="007755F2"/>
    <w:rsid w:val="00776971"/>
    <w:rsid w:val="0078177E"/>
    <w:rsid w:val="0078304C"/>
    <w:rsid w:val="00783673"/>
    <w:rsid w:val="00785490"/>
    <w:rsid w:val="0078648D"/>
    <w:rsid w:val="00787795"/>
    <w:rsid w:val="007925EA"/>
    <w:rsid w:val="00793CD8"/>
    <w:rsid w:val="00794D9C"/>
    <w:rsid w:val="00795C38"/>
    <w:rsid w:val="00795C92"/>
    <w:rsid w:val="00796231"/>
    <w:rsid w:val="007A164C"/>
    <w:rsid w:val="007A1CB3"/>
    <w:rsid w:val="007A306F"/>
    <w:rsid w:val="007A43A6"/>
    <w:rsid w:val="007A58A6"/>
    <w:rsid w:val="007A737E"/>
    <w:rsid w:val="007B1DBB"/>
    <w:rsid w:val="007B3D2D"/>
    <w:rsid w:val="007B50AE"/>
    <w:rsid w:val="007B51DF"/>
    <w:rsid w:val="007B5600"/>
    <w:rsid w:val="007B58A5"/>
    <w:rsid w:val="007B5EB3"/>
    <w:rsid w:val="007B7232"/>
    <w:rsid w:val="007B733D"/>
    <w:rsid w:val="007C05DD"/>
    <w:rsid w:val="007C2287"/>
    <w:rsid w:val="007C3D18"/>
    <w:rsid w:val="007C60BF"/>
    <w:rsid w:val="007C6A07"/>
    <w:rsid w:val="007C73D5"/>
    <w:rsid w:val="007C75A1"/>
    <w:rsid w:val="007C77A5"/>
    <w:rsid w:val="007D04E5"/>
    <w:rsid w:val="007D103D"/>
    <w:rsid w:val="007D5901"/>
    <w:rsid w:val="007D7526"/>
    <w:rsid w:val="007E0E28"/>
    <w:rsid w:val="007E0F30"/>
    <w:rsid w:val="007E1D21"/>
    <w:rsid w:val="007E4610"/>
    <w:rsid w:val="007E4715"/>
    <w:rsid w:val="007E505B"/>
    <w:rsid w:val="007E7091"/>
    <w:rsid w:val="007F3049"/>
    <w:rsid w:val="00803FAE"/>
    <w:rsid w:val="0080605F"/>
    <w:rsid w:val="00807786"/>
    <w:rsid w:val="00811FCB"/>
    <w:rsid w:val="008158D6"/>
    <w:rsid w:val="008170C5"/>
    <w:rsid w:val="00817196"/>
    <w:rsid w:val="008235DB"/>
    <w:rsid w:val="008248BD"/>
    <w:rsid w:val="00824A6E"/>
    <w:rsid w:val="00824AB4"/>
    <w:rsid w:val="00825C42"/>
    <w:rsid w:val="00825D25"/>
    <w:rsid w:val="00827D6F"/>
    <w:rsid w:val="008376AC"/>
    <w:rsid w:val="008444E8"/>
    <w:rsid w:val="00844E80"/>
    <w:rsid w:val="00846FE7"/>
    <w:rsid w:val="008472AC"/>
    <w:rsid w:val="00850CEC"/>
    <w:rsid w:val="00856911"/>
    <w:rsid w:val="00860BEB"/>
    <w:rsid w:val="008677FD"/>
    <w:rsid w:val="008706D4"/>
    <w:rsid w:val="00870F8A"/>
    <w:rsid w:val="008719A4"/>
    <w:rsid w:val="00871D23"/>
    <w:rsid w:val="00874312"/>
    <w:rsid w:val="0087437C"/>
    <w:rsid w:val="00875CD7"/>
    <w:rsid w:val="008760E0"/>
    <w:rsid w:val="00876B4D"/>
    <w:rsid w:val="00877F18"/>
    <w:rsid w:val="00894A88"/>
    <w:rsid w:val="008952BD"/>
    <w:rsid w:val="00895386"/>
    <w:rsid w:val="008A21FF"/>
    <w:rsid w:val="008A2CE2"/>
    <w:rsid w:val="008A2DA6"/>
    <w:rsid w:val="008A30AC"/>
    <w:rsid w:val="008A44B8"/>
    <w:rsid w:val="008A51A8"/>
    <w:rsid w:val="008A54C7"/>
    <w:rsid w:val="008A77D8"/>
    <w:rsid w:val="008A7912"/>
    <w:rsid w:val="008B0483"/>
    <w:rsid w:val="008B120C"/>
    <w:rsid w:val="008B5104"/>
    <w:rsid w:val="008B51A0"/>
    <w:rsid w:val="008B5648"/>
    <w:rsid w:val="008B592A"/>
    <w:rsid w:val="008B6D83"/>
    <w:rsid w:val="008B7B5C"/>
    <w:rsid w:val="008B7C06"/>
    <w:rsid w:val="008C0C99"/>
    <w:rsid w:val="008C2017"/>
    <w:rsid w:val="008C394C"/>
    <w:rsid w:val="008C4958"/>
    <w:rsid w:val="008C4BAA"/>
    <w:rsid w:val="008C6AE8"/>
    <w:rsid w:val="008C7573"/>
    <w:rsid w:val="008D34F1"/>
    <w:rsid w:val="008D39D8"/>
    <w:rsid w:val="008D6D1A"/>
    <w:rsid w:val="008E065E"/>
    <w:rsid w:val="008E0927"/>
    <w:rsid w:val="008E1909"/>
    <w:rsid w:val="008E1A58"/>
    <w:rsid w:val="008E3313"/>
    <w:rsid w:val="008E5C9C"/>
    <w:rsid w:val="008E6846"/>
    <w:rsid w:val="008F0AE4"/>
    <w:rsid w:val="008F169D"/>
    <w:rsid w:val="008F1EAB"/>
    <w:rsid w:val="008F33DC"/>
    <w:rsid w:val="008F477F"/>
    <w:rsid w:val="008F7ADA"/>
    <w:rsid w:val="009020BE"/>
    <w:rsid w:val="00902350"/>
    <w:rsid w:val="0090336B"/>
    <w:rsid w:val="00903AF6"/>
    <w:rsid w:val="009053AA"/>
    <w:rsid w:val="00905EB9"/>
    <w:rsid w:val="0090659A"/>
    <w:rsid w:val="00906939"/>
    <w:rsid w:val="00910B7D"/>
    <w:rsid w:val="00911DFB"/>
    <w:rsid w:val="009139D9"/>
    <w:rsid w:val="00913AFB"/>
    <w:rsid w:val="00913B51"/>
    <w:rsid w:val="00914AD8"/>
    <w:rsid w:val="00914D69"/>
    <w:rsid w:val="00916079"/>
    <w:rsid w:val="00917CE9"/>
    <w:rsid w:val="00920BF2"/>
    <w:rsid w:val="00921DD2"/>
    <w:rsid w:val="00922010"/>
    <w:rsid w:val="00927BC5"/>
    <w:rsid w:val="009314D5"/>
    <w:rsid w:val="00931BD9"/>
    <w:rsid w:val="00932CDA"/>
    <w:rsid w:val="0093322C"/>
    <w:rsid w:val="009368F3"/>
    <w:rsid w:val="00941636"/>
    <w:rsid w:val="00943742"/>
    <w:rsid w:val="00945C05"/>
    <w:rsid w:val="00946945"/>
    <w:rsid w:val="00947713"/>
    <w:rsid w:val="00950DE7"/>
    <w:rsid w:val="00951030"/>
    <w:rsid w:val="00953920"/>
    <w:rsid w:val="00953D47"/>
    <w:rsid w:val="0095681E"/>
    <w:rsid w:val="009572D4"/>
    <w:rsid w:val="00961921"/>
    <w:rsid w:val="00961B10"/>
    <w:rsid w:val="0096430A"/>
    <w:rsid w:val="0096554B"/>
    <w:rsid w:val="0096584A"/>
    <w:rsid w:val="00967F8A"/>
    <w:rsid w:val="00971F08"/>
    <w:rsid w:val="00972FEB"/>
    <w:rsid w:val="0097603D"/>
    <w:rsid w:val="00976949"/>
    <w:rsid w:val="00980477"/>
    <w:rsid w:val="00980E0D"/>
    <w:rsid w:val="00981A97"/>
    <w:rsid w:val="009823E9"/>
    <w:rsid w:val="00985253"/>
    <w:rsid w:val="00985302"/>
    <w:rsid w:val="009853B3"/>
    <w:rsid w:val="00990630"/>
    <w:rsid w:val="00990A30"/>
    <w:rsid w:val="00991761"/>
    <w:rsid w:val="00994DCA"/>
    <w:rsid w:val="009960EC"/>
    <w:rsid w:val="009970DD"/>
    <w:rsid w:val="009A024F"/>
    <w:rsid w:val="009A0FBA"/>
    <w:rsid w:val="009A1601"/>
    <w:rsid w:val="009A2131"/>
    <w:rsid w:val="009A462D"/>
    <w:rsid w:val="009A5CBA"/>
    <w:rsid w:val="009A7536"/>
    <w:rsid w:val="009A79F8"/>
    <w:rsid w:val="009B1F30"/>
    <w:rsid w:val="009B3AC2"/>
    <w:rsid w:val="009B4DF4"/>
    <w:rsid w:val="009B564E"/>
    <w:rsid w:val="009B7E87"/>
    <w:rsid w:val="009C2637"/>
    <w:rsid w:val="009C403E"/>
    <w:rsid w:val="009D1FE8"/>
    <w:rsid w:val="009D2AD4"/>
    <w:rsid w:val="009D2B94"/>
    <w:rsid w:val="009D4FF0"/>
    <w:rsid w:val="009D703C"/>
    <w:rsid w:val="009D718F"/>
    <w:rsid w:val="009E068F"/>
    <w:rsid w:val="009E14E0"/>
    <w:rsid w:val="009E1C05"/>
    <w:rsid w:val="009E35DB"/>
    <w:rsid w:val="009E47A3"/>
    <w:rsid w:val="009E67CE"/>
    <w:rsid w:val="009F08F3"/>
    <w:rsid w:val="009F344F"/>
    <w:rsid w:val="00A048A8"/>
    <w:rsid w:val="00A04F49"/>
    <w:rsid w:val="00A078FE"/>
    <w:rsid w:val="00A0792F"/>
    <w:rsid w:val="00A13E54"/>
    <w:rsid w:val="00A14B31"/>
    <w:rsid w:val="00A15DFC"/>
    <w:rsid w:val="00A17094"/>
    <w:rsid w:val="00A176D6"/>
    <w:rsid w:val="00A17F63"/>
    <w:rsid w:val="00A2193B"/>
    <w:rsid w:val="00A2351A"/>
    <w:rsid w:val="00A264A9"/>
    <w:rsid w:val="00A26831"/>
    <w:rsid w:val="00A27785"/>
    <w:rsid w:val="00A30187"/>
    <w:rsid w:val="00A30A42"/>
    <w:rsid w:val="00A3448A"/>
    <w:rsid w:val="00A34CCD"/>
    <w:rsid w:val="00A36297"/>
    <w:rsid w:val="00A41E2B"/>
    <w:rsid w:val="00A425C2"/>
    <w:rsid w:val="00A45B74"/>
    <w:rsid w:val="00A503B4"/>
    <w:rsid w:val="00A52E1D"/>
    <w:rsid w:val="00A61499"/>
    <w:rsid w:val="00A62A77"/>
    <w:rsid w:val="00A63483"/>
    <w:rsid w:val="00A63D6A"/>
    <w:rsid w:val="00A657D7"/>
    <w:rsid w:val="00A660AC"/>
    <w:rsid w:val="00A66C51"/>
    <w:rsid w:val="00A67E6C"/>
    <w:rsid w:val="00A71B99"/>
    <w:rsid w:val="00A739D0"/>
    <w:rsid w:val="00A761D4"/>
    <w:rsid w:val="00A76977"/>
    <w:rsid w:val="00A77EC4"/>
    <w:rsid w:val="00A81D38"/>
    <w:rsid w:val="00A87C47"/>
    <w:rsid w:val="00A92879"/>
    <w:rsid w:val="00A93964"/>
    <w:rsid w:val="00A9442A"/>
    <w:rsid w:val="00AA0139"/>
    <w:rsid w:val="00AA016F"/>
    <w:rsid w:val="00AA1ED6"/>
    <w:rsid w:val="00AA377D"/>
    <w:rsid w:val="00AA51D6"/>
    <w:rsid w:val="00AB0BC8"/>
    <w:rsid w:val="00AB11CA"/>
    <w:rsid w:val="00AB14D9"/>
    <w:rsid w:val="00AB1BA6"/>
    <w:rsid w:val="00AB2350"/>
    <w:rsid w:val="00AB4AB8"/>
    <w:rsid w:val="00AB5233"/>
    <w:rsid w:val="00AB655E"/>
    <w:rsid w:val="00AC007F"/>
    <w:rsid w:val="00AC20C3"/>
    <w:rsid w:val="00AC2E25"/>
    <w:rsid w:val="00AC2ECD"/>
    <w:rsid w:val="00AC3119"/>
    <w:rsid w:val="00AC49FB"/>
    <w:rsid w:val="00AC5214"/>
    <w:rsid w:val="00AC55DA"/>
    <w:rsid w:val="00AC5A10"/>
    <w:rsid w:val="00AC5FFA"/>
    <w:rsid w:val="00AC635E"/>
    <w:rsid w:val="00AD0AA3"/>
    <w:rsid w:val="00AD1211"/>
    <w:rsid w:val="00AD2920"/>
    <w:rsid w:val="00AD3F94"/>
    <w:rsid w:val="00AD4A5A"/>
    <w:rsid w:val="00AD4FC0"/>
    <w:rsid w:val="00AD5BC5"/>
    <w:rsid w:val="00AE2157"/>
    <w:rsid w:val="00AE27AC"/>
    <w:rsid w:val="00AE40E0"/>
    <w:rsid w:val="00AE4C61"/>
    <w:rsid w:val="00AE4DBA"/>
    <w:rsid w:val="00AE4F07"/>
    <w:rsid w:val="00AE6213"/>
    <w:rsid w:val="00AE69FE"/>
    <w:rsid w:val="00AF1C5D"/>
    <w:rsid w:val="00AF42D7"/>
    <w:rsid w:val="00B006FE"/>
    <w:rsid w:val="00B007CB"/>
    <w:rsid w:val="00B02AA9"/>
    <w:rsid w:val="00B02FA3"/>
    <w:rsid w:val="00B05084"/>
    <w:rsid w:val="00B06CB4"/>
    <w:rsid w:val="00B13A6C"/>
    <w:rsid w:val="00B157F9"/>
    <w:rsid w:val="00B167F1"/>
    <w:rsid w:val="00B170AB"/>
    <w:rsid w:val="00B20256"/>
    <w:rsid w:val="00B20D09"/>
    <w:rsid w:val="00B250A3"/>
    <w:rsid w:val="00B2763F"/>
    <w:rsid w:val="00B27AAC"/>
    <w:rsid w:val="00B30929"/>
    <w:rsid w:val="00B3301E"/>
    <w:rsid w:val="00B336C6"/>
    <w:rsid w:val="00B372AA"/>
    <w:rsid w:val="00B40445"/>
    <w:rsid w:val="00B41888"/>
    <w:rsid w:val="00B44014"/>
    <w:rsid w:val="00B45A52"/>
    <w:rsid w:val="00B46175"/>
    <w:rsid w:val="00B539DC"/>
    <w:rsid w:val="00B55B50"/>
    <w:rsid w:val="00B6045F"/>
    <w:rsid w:val="00B62AAA"/>
    <w:rsid w:val="00B664C7"/>
    <w:rsid w:val="00B66689"/>
    <w:rsid w:val="00B70298"/>
    <w:rsid w:val="00B7155D"/>
    <w:rsid w:val="00B739F6"/>
    <w:rsid w:val="00B756D5"/>
    <w:rsid w:val="00B76088"/>
    <w:rsid w:val="00B81A6C"/>
    <w:rsid w:val="00B8301C"/>
    <w:rsid w:val="00B85DE5"/>
    <w:rsid w:val="00B87CD8"/>
    <w:rsid w:val="00B90F73"/>
    <w:rsid w:val="00B93B59"/>
    <w:rsid w:val="00B9406A"/>
    <w:rsid w:val="00BA2280"/>
    <w:rsid w:val="00BA2A08"/>
    <w:rsid w:val="00BA56D2"/>
    <w:rsid w:val="00BA76E0"/>
    <w:rsid w:val="00BB1BEB"/>
    <w:rsid w:val="00BB2A25"/>
    <w:rsid w:val="00BB362F"/>
    <w:rsid w:val="00BB4C80"/>
    <w:rsid w:val="00BB51E9"/>
    <w:rsid w:val="00BB735F"/>
    <w:rsid w:val="00BC0FDC"/>
    <w:rsid w:val="00BC3053"/>
    <w:rsid w:val="00BC4D2E"/>
    <w:rsid w:val="00BD0701"/>
    <w:rsid w:val="00BD2A1D"/>
    <w:rsid w:val="00BD48AC"/>
    <w:rsid w:val="00BD5F1A"/>
    <w:rsid w:val="00BD6748"/>
    <w:rsid w:val="00BE1234"/>
    <w:rsid w:val="00BE2FA6"/>
    <w:rsid w:val="00BE333F"/>
    <w:rsid w:val="00BE7406"/>
    <w:rsid w:val="00BE7603"/>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10478"/>
    <w:rsid w:val="00C12107"/>
    <w:rsid w:val="00C14D4B"/>
    <w:rsid w:val="00C154BB"/>
    <w:rsid w:val="00C17D64"/>
    <w:rsid w:val="00C20AB5"/>
    <w:rsid w:val="00C279B5"/>
    <w:rsid w:val="00C27C45"/>
    <w:rsid w:val="00C31964"/>
    <w:rsid w:val="00C34FE8"/>
    <w:rsid w:val="00C3719D"/>
    <w:rsid w:val="00C47863"/>
    <w:rsid w:val="00C54995"/>
    <w:rsid w:val="00C54D41"/>
    <w:rsid w:val="00C60783"/>
    <w:rsid w:val="00C64672"/>
    <w:rsid w:val="00C70697"/>
    <w:rsid w:val="00C711E3"/>
    <w:rsid w:val="00C715D4"/>
    <w:rsid w:val="00C72EF4"/>
    <w:rsid w:val="00C75D2F"/>
    <w:rsid w:val="00C767BE"/>
    <w:rsid w:val="00C76963"/>
    <w:rsid w:val="00C76C63"/>
    <w:rsid w:val="00C76E3C"/>
    <w:rsid w:val="00C80623"/>
    <w:rsid w:val="00C81568"/>
    <w:rsid w:val="00C81E56"/>
    <w:rsid w:val="00C85664"/>
    <w:rsid w:val="00C9027A"/>
    <w:rsid w:val="00C9068E"/>
    <w:rsid w:val="00C91811"/>
    <w:rsid w:val="00C91A48"/>
    <w:rsid w:val="00C93C4B"/>
    <w:rsid w:val="00C944AB"/>
    <w:rsid w:val="00C9566F"/>
    <w:rsid w:val="00C95B40"/>
    <w:rsid w:val="00CA1ED8"/>
    <w:rsid w:val="00CA330C"/>
    <w:rsid w:val="00CA3F64"/>
    <w:rsid w:val="00CB1F63"/>
    <w:rsid w:val="00CB27CF"/>
    <w:rsid w:val="00CB7170"/>
    <w:rsid w:val="00CC040E"/>
    <w:rsid w:val="00CC111F"/>
    <w:rsid w:val="00CC2011"/>
    <w:rsid w:val="00CC3EA0"/>
    <w:rsid w:val="00CC7B45"/>
    <w:rsid w:val="00CD1188"/>
    <w:rsid w:val="00CD2ED1"/>
    <w:rsid w:val="00CD337B"/>
    <w:rsid w:val="00CE0424"/>
    <w:rsid w:val="00CE7561"/>
    <w:rsid w:val="00CE7603"/>
    <w:rsid w:val="00CF1354"/>
    <w:rsid w:val="00CF3B1F"/>
    <w:rsid w:val="00CF3BF6"/>
    <w:rsid w:val="00CF625B"/>
    <w:rsid w:val="00CF687E"/>
    <w:rsid w:val="00D0349B"/>
    <w:rsid w:val="00D04434"/>
    <w:rsid w:val="00D04FDB"/>
    <w:rsid w:val="00D060F6"/>
    <w:rsid w:val="00D10249"/>
    <w:rsid w:val="00D115C3"/>
    <w:rsid w:val="00D11897"/>
    <w:rsid w:val="00D1241A"/>
    <w:rsid w:val="00D130C0"/>
    <w:rsid w:val="00D13135"/>
    <w:rsid w:val="00D13E4E"/>
    <w:rsid w:val="00D2214C"/>
    <w:rsid w:val="00D239A7"/>
    <w:rsid w:val="00D23F47"/>
    <w:rsid w:val="00D247FF"/>
    <w:rsid w:val="00D27CC3"/>
    <w:rsid w:val="00D3005B"/>
    <w:rsid w:val="00D3176C"/>
    <w:rsid w:val="00D31F48"/>
    <w:rsid w:val="00D36E71"/>
    <w:rsid w:val="00D37D87"/>
    <w:rsid w:val="00D40B33"/>
    <w:rsid w:val="00D419E4"/>
    <w:rsid w:val="00D4318F"/>
    <w:rsid w:val="00D438BF"/>
    <w:rsid w:val="00D440F8"/>
    <w:rsid w:val="00D44BA8"/>
    <w:rsid w:val="00D47081"/>
    <w:rsid w:val="00D546FF"/>
    <w:rsid w:val="00D55AD5"/>
    <w:rsid w:val="00D56529"/>
    <w:rsid w:val="00D576CA"/>
    <w:rsid w:val="00D579D0"/>
    <w:rsid w:val="00D60E13"/>
    <w:rsid w:val="00D61AF5"/>
    <w:rsid w:val="00D62CD5"/>
    <w:rsid w:val="00D6435F"/>
    <w:rsid w:val="00D652B5"/>
    <w:rsid w:val="00D66155"/>
    <w:rsid w:val="00D708B0"/>
    <w:rsid w:val="00D75C8E"/>
    <w:rsid w:val="00D77B1D"/>
    <w:rsid w:val="00D8021F"/>
    <w:rsid w:val="00D80383"/>
    <w:rsid w:val="00D823C6"/>
    <w:rsid w:val="00D82CB4"/>
    <w:rsid w:val="00D84D28"/>
    <w:rsid w:val="00D86202"/>
    <w:rsid w:val="00D86CA3"/>
    <w:rsid w:val="00D871CE"/>
    <w:rsid w:val="00D9196D"/>
    <w:rsid w:val="00D92982"/>
    <w:rsid w:val="00D95657"/>
    <w:rsid w:val="00DA305E"/>
    <w:rsid w:val="00DA32BE"/>
    <w:rsid w:val="00DA5007"/>
    <w:rsid w:val="00DA5417"/>
    <w:rsid w:val="00DA56E8"/>
    <w:rsid w:val="00DB09F6"/>
    <w:rsid w:val="00DB0A9F"/>
    <w:rsid w:val="00DB2A5F"/>
    <w:rsid w:val="00DB377D"/>
    <w:rsid w:val="00DC2140"/>
    <w:rsid w:val="00DC2D36"/>
    <w:rsid w:val="00DC4F42"/>
    <w:rsid w:val="00DC53EF"/>
    <w:rsid w:val="00DC6963"/>
    <w:rsid w:val="00DD39D5"/>
    <w:rsid w:val="00DD71A7"/>
    <w:rsid w:val="00DD739C"/>
    <w:rsid w:val="00DE18FE"/>
    <w:rsid w:val="00DE4478"/>
    <w:rsid w:val="00DE5608"/>
    <w:rsid w:val="00DE58D0"/>
    <w:rsid w:val="00DE5C7E"/>
    <w:rsid w:val="00DE654F"/>
    <w:rsid w:val="00DF0B6E"/>
    <w:rsid w:val="00DF15E0"/>
    <w:rsid w:val="00DF37A0"/>
    <w:rsid w:val="00DF7FBA"/>
    <w:rsid w:val="00E0243A"/>
    <w:rsid w:val="00E02EBB"/>
    <w:rsid w:val="00E032CA"/>
    <w:rsid w:val="00E05487"/>
    <w:rsid w:val="00E110E7"/>
    <w:rsid w:val="00E11B20"/>
    <w:rsid w:val="00E17FA2"/>
    <w:rsid w:val="00E22330"/>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886"/>
    <w:rsid w:val="00E4782A"/>
    <w:rsid w:val="00E47AEF"/>
    <w:rsid w:val="00E528F4"/>
    <w:rsid w:val="00E53B75"/>
    <w:rsid w:val="00E54E3B"/>
    <w:rsid w:val="00E57565"/>
    <w:rsid w:val="00E5780A"/>
    <w:rsid w:val="00E63838"/>
    <w:rsid w:val="00E64434"/>
    <w:rsid w:val="00E64CF3"/>
    <w:rsid w:val="00E66999"/>
    <w:rsid w:val="00E67C51"/>
    <w:rsid w:val="00E72EFC"/>
    <w:rsid w:val="00E758EC"/>
    <w:rsid w:val="00E81189"/>
    <w:rsid w:val="00E8234C"/>
    <w:rsid w:val="00E83AA9"/>
    <w:rsid w:val="00E85928"/>
    <w:rsid w:val="00E87822"/>
    <w:rsid w:val="00E90395"/>
    <w:rsid w:val="00E90E49"/>
    <w:rsid w:val="00E917F9"/>
    <w:rsid w:val="00E9291C"/>
    <w:rsid w:val="00E93FFE"/>
    <w:rsid w:val="00E94F8A"/>
    <w:rsid w:val="00EA3F61"/>
    <w:rsid w:val="00EA4D55"/>
    <w:rsid w:val="00EA78D3"/>
    <w:rsid w:val="00EA7A41"/>
    <w:rsid w:val="00EA7E15"/>
    <w:rsid w:val="00EB077B"/>
    <w:rsid w:val="00EB21D0"/>
    <w:rsid w:val="00EB2EB5"/>
    <w:rsid w:val="00EB4EA2"/>
    <w:rsid w:val="00EB6D5D"/>
    <w:rsid w:val="00EB72D5"/>
    <w:rsid w:val="00EC27C6"/>
    <w:rsid w:val="00EC4207"/>
    <w:rsid w:val="00EC5479"/>
    <w:rsid w:val="00EC5653"/>
    <w:rsid w:val="00EC60B5"/>
    <w:rsid w:val="00EC67A4"/>
    <w:rsid w:val="00EC71CE"/>
    <w:rsid w:val="00ED1006"/>
    <w:rsid w:val="00ED5EDB"/>
    <w:rsid w:val="00ED605D"/>
    <w:rsid w:val="00EE3501"/>
    <w:rsid w:val="00EE5985"/>
    <w:rsid w:val="00EE5C1E"/>
    <w:rsid w:val="00EF18FE"/>
    <w:rsid w:val="00EF4FF6"/>
    <w:rsid w:val="00EF5787"/>
    <w:rsid w:val="00EF60D0"/>
    <w:rsid w:val="00F007A2"/>
    <w:rsid w:val="00F0528D"/>
    <w:rsid w:val="00F06C67"/>
    <w:rsid w:val="00F06DFD"/>
    <w:rsid w:val="00F06E06"/>
    <w:rsid w:val="00F071D1"/>
    <w:rsid w:val="00F07533"/>
    <w:rsid w:val="00F10448"/>
    <w:rsid w:val="00F10629"/>
    <w:rsid w:val="00F11001"/>
    <w:rsid w:val="00F158C9"/>
    <w:rsid w:val="00F15FA5"/>
    <w:rsid w:val="00F16643"/>
    <w:rsid w:val="00F209B7"/>
    <w:rsid w:val="00F20B0E"/>
    <w:rsid w:val="00F2376F"/>
    <w:rsid w:val="00F243D8"/>
    <w:rsid w:val="00F30828"/>
    <w:rsid w:val="00F313D6"/>
    <w:rsid w:val="00F33EC5"/>
    <w:rsid w:val="00F34E5F"/>
    <w:rsid w:val="00F40F0C"/>
    <w:rsid w:val="00F4766C"/>
    <w:rsid w:val="00F507D1"/>
    <w:rsid w:val="00F519CE"/>
    <w:rsid w:val="00F51ADA"/>
    <w:rsid w:val="00F536DD"/>
    <w:rsid w:val="00F607C5"/>
    <w:rsid w:val="00F60DEA"/>
    <w:rsid w:val="00F6302A"/>
    <w:rsid w:val="00F64C2B"/>
    <w:rsid w:val="00F651BE"/>
    <w:rsid w:val="00F67A15"/>
    <w:rsid w:val="00F67F53"/>
    <w:rsid w:val="00F703BE"/>
    <w:rsid w:val="00F71F69"/>
    <w:rsid w:val="00F72B72"/>
    <w:rsid w:val="00F74BB9"/>
    <w:rsid w:val="00F75582"/>
    <w:rsid w:val="00F75A7F"/>
    <w:rsid w:val="00F76EFA"/>
    <w:rsid w:val="00F7704B"/>
    <w:rsid w:val="00F804BE"/>
    <w:rsid w:val="00F817CE"/>
    <w:rsid w:val="00F82F4E"/>
    <w:rsid w:val="00F8456C"/>
    <w:rsid w:val="00F858AE"/>
    <w:rsid w:val="00F859D8"/>
    <w:rsid w:val="00F868F5"/>
    <w:rsid w:val="00F9056A"/>
    <w:rsid w:val="00F90F8D"/>
    <w:rsid w:val="00F92782"/>
    <w:rsid w:val="00F93AA9"/>
    <w:rsid w:val="00F94784"/>
    <w:rsid w:val="00F96790"/>
    <w:rsid w:val="00F96985"/>
    <w:rsid w:val="00F97838"/>
    <w:rsid w:val="00F97F0A"/>
    <w:rsid w:val="00FA2BB3"/>
    <w:rsid w:val="00FA5E06"/>
    <w:rsid w:val="00FB4C80"/>
    <w:rsid w:val="00FB6A6A"/>
    <w:rsid w:val="00FC4AD0"/>
    <w:rsid w:val="00FC61CA"/>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15:docId w15:val="{B271B4FF-B8F0-475A-92FD-0D921057B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1F4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31F4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31F4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31F4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31F48"/>
    <w:pPr>
      <w:numPr>
        <w:ilvl w:val="3"/>
      </w:numPr>
      <w:outlineLvl w:val="3"/>
    </w:pPr>
    <w:rPr>
      <w:sz w:val="24"/>
      <w:szCs w:val="24"/>
    </w:rPr>
  </w:style>
  <w:style w:type="paragraph" w:styleId="Heading5">
    <w:name w:val="heading 5"/>
    <w:basedOn w:val="Heading4"/>
    <w:next w:val="Normal"/>
    <w:qFormat/>
    <w:rsid w:val="00D31F48"/>
    <w:pPr>
      <w:numPr>
        <w:ilvl w:val="4"/>
      </w:numPr>
      <w:outlineLvl w:val="4"/>
    </w:pPr>
    <w:rPr>
      <w:sz w:val="22"/>
      <w:szCs w:val="22"/>
    </w:rPr>
  </w:style>
  <w:style w:type="paragraph" w:styleId="Heading6">
    <w:name w:val="heading 6"/>
    <w:basedOn w:val="Normal"/>
    <w:next w:val="Normal"/>
    <w:qFormat/>
    <w:rsid w:val="00D31F48"/>
    <w:pPr>
      <w:keepNext/>
      <w:keepLines/>
      <w:numPr>
        <w:ilvl w:val="5"/>
        <w:numId w:val="1"/>
      </w:numPr>
      <w:spacing w:before="120"/>
      <w:outlineLvl w:val="5"/>
    </w:pPr>
    <w:rPr>
      <w:rFonts w:cs="Arial"/>
    </w:rPr>
  </w:style>
  <w:style w:type="paragraph" w:styleId="Heading7">
    <w:name w:val="heading 7"/>
    <w:basedOn w:val="Normal"/>
    <w:next w:val="Normal"/>
    <w:qFormat/>
    <w:rsid w:val="00D31F48"/>
    <w:pPr>
      <w:keepNext/>
      <w:keepLines/>
      <w:numPr>
        <w:ilvl w:val="6"/>
        <w:numId w:val="1"/>
      </w:numPr>
      <w:spacing w:before="120"/>
      <w:outlineLvl w:val="6"/>
    </w:pPr>
    <w:rPr>
      <w:rFonts w:cs="Arial"/>
    </w:rPr>
  </w:style>
  <w:style w:type="paragraph" w:styleId="Heading8">
    <w:name w:val="heading 8"/>
    <w:basedOn w:val="Heading7"/>
    <w:next w:val="Normal"/>
    <w:qFormat/>
    <w:rsid w:val="00D31F48"/>
    <w:pPr>
      <w:numPr>
        <w:ilvl w:val="7"/>
      </w:numPr>
      <w:outlineLvl w:val="7"/>
    </w:pPr>
  </w:style>
  <w:style w:type="paragraph" w:styleId="Heading9">
    <w:name w:val="heading 9"/>
    <w:basedOn w:val="Heading8"/>
    <w:next w:val="Normal"/>
    <w:qFormat/>
    <w:rsid w:val="00D31F4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31F48"/>
    <w:pPr>
      <w:spacing w:before="180"/>
      <w:ind w:left="2693" w:hanging="2693"/>
    </w:pPr>
    <w:rPr>
      <w:b w:val="0"/>
      <w:bCs/>
    </w:rPr>
  </w:style>
  <w:style w:type="paragraph" w:styleId="TOC1">
    <w:name w:val="toc 1"/>
    <w:aliases w:val="Observation TOC2"/>
    <w:uiPriority w:val="39"/>
    <w:rsid w:val="00D31F4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31F48"/>
    <w:pPr>
      <w:keepNext/>
      <w:keepLines/>
      <w:spacing w:before="180"/>
      <w:jc w:val="center"/>
    </w:pPr>
  </w:style>
  <w:style w:type="paragraph" w:styleId="Caption">
    <w:name w:val="caption"/>
    <w:basedOn w:val="Normal"/>
    <w:next w:val="Normal"/>
    <w:qFormat/>
    <w:rsid w:val="00D31F48"/>
    <w:pPr>
      <w:spacing w:after="240"/>
      <w:jc w:val="center"/>
    </w:pPr>
    <w:rPr>
      <w:b/>
      <w:bCs/>
    </w:rPr>
  </w:style>
  <w:style w:type="paragraph" w:styleId="TOC5">
    <w:name w:val="toc 5"/>
    <w:aliases w:val="Observation TOC"/>
    <w:basedOn w:val="TOC4"/>
    <w:semiHidden/>
    <w:rsid w:val="00D31F48"/>
    <w:pPr>
      <w:tabs>
        <w:tab w:val="right" w:pos="1701"/>
      </w:tabs>
      <w:ind w:left="1701" w:hanging="1701"/>
    </w:pPr>
  </w:style>
  <w:style w:type="paragraph" w:styleId="TOC4">
    <w:name w:val="toc 4"/>
    <w:basedOn w:val="TOC3"/>
    <w:semiHidden/>
    <w:rsid w:val="00D31F48"/>
    <w:pPr>
      <w:ind w:left="1418" w:hanging="1418"/>
    </w:pPr>
  </w:style>
  <w:style w:type="paragraph" w:styleId="TOC3">
    <w:name w:val="toc 3"/>
    <w:basedOn w:val="TOC2"/>
    <w:semiHidden/>
    <w:rsid w:val="00D31F48"/>
    <w:pPr>
      <w:ind w:left="1134" w:hanging="1134"/>
    </w:pPr>
  </w:style>
  <w:style w:type="paragraph" w:styleId="TOC2">
    <w:name w:val="toc 2"/>
    <w:basedOn w:val="TOC1"/>
    <w:semiHidden/>
    <w:rsid w:val="00D31F48"/>
    <w:pPr>
      <w:keepNext w:val="0"/>
      <w:spacing w:before="0"/>
      <w:ind w:left="851" w:hanging="851"/>
    </w:pPr>
    <w:rPr>
      <w:szCs w:val="20"/>
    </w:rPr>
  </w:style>
  <w:style w:type="paragraph" w:styleId="Index2">
    <w:name w:val="index 2"/>
    <w:basedOn w:val="Index1"/>
    <w:semiHidden/>
    <w:rsid w:val="00D31F48"/>
    <w:pPr>
      <w:ind w:left="284"/>
    </w:pPr>
  </w:style>
  <w:style w:type="paragraph" w:styleId="Index1">
    <w:name w:val="index 1"/>
    <w:basedOn w:val="Normal"/>
    <w:semiHidden/>
    <w:rsid w:val="00D31F48"/>
    <w:pPr>
      <w:keepLines/>
      <w:spacing w:after="0"/>
    </w:pPr>
  </w:style>
  <w:style w:type="paragraph" w:styleId="DocumentMap">
    <w:name w:val="Document Map"/>
    <w:basedOn w:val="Normal"/>
    <w:semiHidden/>
    <w:rsid w:val="00D31F48"/>
    <w:pPr>
      <w:shd w:val="clear" w:color="auto" w:fill="000080"/>
    </w:pPr>
    <w:rPr>
      <w:rFonts w:ascii="Tahoma" w:hAnsi="Tahoma" w:cs="Tahoma"/>
    </w:rPr>
  </w:style>
  <w:style w:type="paragraph" w:styleId="ListNumber2">
    <w:name w:val="List Number 2"/>
    <w:basedOn w:val="ListNumber"/>
    <w:rsid w:val="00D31F48"/>
    <w:pPr>
      <w:ind w:left="851"/>
    </w:pPr>
  </w:style>
  <w:style w:type="paragraph" w:styleId="ListNumber">
    <w:name w:val="List Number"/>
    <w:basedOn w:val="List"/>
    <w:rsid w:val="00D31F48"/>
  </w:style>
  <w:style w:type="paragraph" w:styleId="List">
    <w:name w:val="List"/>
    <w:basedOn w:val="Normal"/>
    <w:rsid w:val="00D31F48"/>
    <w:pPr>
      <w:ind w:left="568" w:hanging="284"/>
    </w:pPr>
  </w:style>
  <w:style w:type="paragraph" w:styleId="Header">
    <w:name w:val="header"/>
    <w:rsid w:val="00D31F4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31F48"/>
    <w:rPr>
      <w:b/>
      <w:bCs/>
      <w:position w:val="6"/>
      <w:sz w:val="16"/>
      <w:szCs w:val="16"/>
    </w:rPr>
  </w:style>
  <w:style w:type="paragraph" w:styleId="FootnoteText">
    <w:name w:val="footnote text"/>
    <w:basedOn w:val="Normal"/>
    <w:semiHidden/>
    <w:rsid w:val="00D31F48"/>
    <w:pPr>
      <w:keepLines/>
      <w:spacing w:after="0"/>
      <w:ind w:left="454" w:hanging="454"/>
    </w:pPr>
    <w:rPr>
      <w:sz w:val="16"/>
      <w:szCs w:val="16"/>
    </w:rPr>
  </w:style>
  <w:style w:type="paragraph" w:customStyle="1" w:styleId="3GPPHeader">
    <w:name w:val="3GPP_Header"/>
    <w:basedOn w:val="Normal"/>
    <w:rsid w:val="00D31F48"/>
    <w:pPr>
      <w:tabs>
        <w:tab w:val="left" w:pos="1701"/>
        <w:tab w:val="right" w:pos="9639"/>
      </w:tabs>
      <w:spacing w:after="240"/>
    </w:pPr>
    <w:rPr>
      <w:b/>
      <w:sz w:val="24"/>
    </w:rPr>
  </w:style>
  <w:style w:type="paragraph" w:styleId="TOC9">
    <w:name w:val="toc 9"/>
    <w:basedOn w:val="TOC8"/>
    <w:semiHidden/>
    <w:rsid w:val="00D31F48"/>
    <w:pPr>
      <w:ind w:left="1418" w:hanging="1418"/>
    </w:pPr>
  </w:style>
  <w:style w:type="paragraph" w:styleId="TOC6">
    <w:name w:val="toc 6"/>
    <w:basedOn w:val="TOC5"/>
    <w:next w:val="Normal"/>
    <w:semiHidden/>
    <w:rsid w:val="00D31F48"/>
    <w:pPr>
      <w:ind w:left="1985" w:hanging="1985"/>
    </w:pPr>
  </w:style>
  <w:style w:type="paragraph" w:styleId="TOC7">
    <w:name w:val="toc 7"/>
    <w:basedOn w:val="TOC6"/>
    <w:next w:val="Normal"/>
    <w:semiHidden/>
    <w:rsid w:val="00D31F48"/>
    <w:pPr>
      <w:ind w:left="2268" w:hanging="2268"/>
    </w:pPr>
  </w:style>
  <w:style w:type="paragraph" w:styleId="ListBullet2">
    <w:name w:val="List Bullet 2"/>
    <w:basedOn w:val="ListBullet"/>
    <w:rsid w:val="00D31F48"/>
    <w:pPr>
      <w:numPr>
        <w:numId w:val="6"/>
      </w:numPr>
    </w:pPr>
  </w:style>
  <w:style w:type="paragraph" w:styleId="ListBullet">
    <w:name w:val="List Bullet"/>
    <w:basedOn w:val="BodyText"/>
    <w:rsid w:val="00D31F48"/>
    <w:pPr>
      <w:numPr>
        <w:numId w:val="5"/>
      </w:numPr>
    </w:pPr>
  </w:style>
  <w:style w:type="paragraph" w:styleId="ListBullet3">
    <w:name w:val="List Bullet 3"/>
    <w:basedOn w:val="ListBullet2"/>
    <w:rsid w:val="00D31F48"/>
    <w:pPr>
      <w:numPr>
        <w:numId w:val="7"/>
      </w:numPr>
    </w:pPr>
  </w:style>
  <w:style w:type="paragraph" w:customStyle="1" w:styleId="EQ">
    <w:name w:val="EQ"/>
    <w:basedOn w:val="Normal"/>
    <w:next w:val="Normal"/>
    <w:rsid w:val="00D31F48"/>
    <w:pPr>
      <w:keepLines/>
      <w:tabs>
        <w:tab w:val="center" w:pos="4536"/>
        <w:tab w:val="right" w:pos="9072"/>
      </w:tabs>
      <w:spacing w:after="180"/>
      <w:jc w:val="left"/>
    </w:pPr>
    <w:rPr>
      <w:noProof/>
      <w:lang w:eastAsia="en-US"/>
    </w:rPr>
  </w:style>
  <w:style w:type="paragraph" w:styleId="List2">
    <w:name w:val="List 2"/>
    <w:basedOn w:val="List"/>
    <w:rsid w:val="00D31F48"/>
    <w:pPr>
      <w:ind w:left="851"/>
    </w:pPr>
  </w:style>
  <w:style w:type="paragraph" w:styleId="List3">
    <w:name w:val="List 3"/>
    <w:basedOn w:val="List2"/>
    <w:rsid w:val="00D31F48"/>
    <w:pPr>
      <w:ind w:left="1135"/>
    </w:pPr>
  </w:style>
  <w:style w:type="paragraph" w:styleId="List4">
    <w:name w:val="List 4"/>
    <w:basedOn w:val="List3"/>
    <w:rsid w:val="00D31F48"/>
    <w:pPr>
      <w:ind w:left="1418"/>
    </w:pPr>
  </w:style>
  <w:style w:type="paragraph" w:styleId="List5">
    <w:name w:val="List 5"/>
    <w:basedOn w:val="List4"/>
    <w:rsid w:val="00D31F48"/>
    <w:pPr>
      <w:ind w:left="1702"/>
    </w:pPr>
  </w:style>
  <w:style w:type="paragraph" w:customStyle="1" w:styleId="EditorsNote">
    <w:name w:val="Editor's Note"/>
    <w:basedOn w:val="Normal"/>
    <w:rsid w:val="00D31F48"/>
    <w:pPr>
      <w:keepLines/>
      <w:spacing w:after="180"/>
      <w:ind w:left="1135" w:hanging="851"/>
      <w:jc w:val="left"/>
    </w:pPr>
    <w:rPr>
      <w:color w:val="FF0000"/>
      <w:lang w:eastAsia="en-US"/>
    </w:rPr>
  </w:style>
  <w:style w:type="paragraph" w:styleId="ListBullet4">
    <w:name w:val="List Bullet 4"/>
    <w:basedOn w:val="ListBullet3"/>
    <w:rsid w:val="00D31F48"/>
    <w:pPr>
      <w:numPr>
        <w:numId w:val="8"/>
      </w:numPr>
    </w:pPr>
  </w:style>
  <w:style w:type="paragraph" w:styleId="ListBullet5">
    <w:name w:val="List Bullet 5"/>
    <w:basedOn w:val="ListBullet4"/>
    <w:rsid w:val="00D31F48"/>
    <w:pPr>
      <w:numPr>
        <w:numId w:val="4"/>
      </w:numPr>
    </w:pPr>
  </w:style>
  <w:style w:type="paragraph" w:styleId="Footer">
    <w:name w:val="footer"/>
    <w:basedOn w:val="Header"/>
    <w:semiHidden/>
    <w:rsid w:val="00D31F48"/>
    <w:pPr>
      <w:jc w:val="center"/>
    </w:pPr>
    <w:rPr>
      <w:i/>
      <w:iCs/>
    </w:rPr>
  </w:style>
  <w:style w:type="paragraph" w:customStyle="1" w:styleId="Reference">
    <w:name w:val="Reference"/>
    <w:basedOn w:val="Normal"/>
    <w:link w:val="ReferenceChar"/>
    <w:rsid w:val="00D31F48"/>
    <w:pPr>
      <w:numPr>
        <w:numId w:val="2"/>
      </w:numPr>
    </w:pPr>
  </w:style>
  <w:style w:type="paragraph" w:styleId="BalloonText">
    <w:name w:val="Balloon Text"/>
    <w:basedOn w:val="Normal"/>
    <w:semiHidden/>
    <w:rsid w:val="00D31F48"/>
    <w:rPr>
      <w:rFonts w:ascii="Tahoma" w:hAnsi="Tahoma" w:cs="Tahoma"/>
      <w:sz w:val="16"/>
      <w:szCs w:val="16"/>
    </w:rPr>
  </w:style>
  <w:style w:type="character" w:styleId="PageNumber">
    <w:name w:val="page number"/>
    <w:basedOn w:val="DefaultParagraphFont"/>
    <w:semiHidden/>
    <w:rsid w:val="00D31F48"/>
  </w:style>
  <w:style w:type="paragraph" w:styleId="BodyText">
    <w:name w:val="Body Text"/>
    <w:basedOn w:val="Normal"/>
    <w:link w:val="BodyTextChar"/>
    <w:rsid w:val="00D31F48"/>
  </w:style>
  <w:style w:type="character" w:styleId="Hyperlink">
    <w:name w:val="Hyperlink"/>
    <w:uiPriority w:val="99"/>
    <w:rsid w:val="00D31F48"/>
    <w:rPr>
      <w:color w:val="0000FF"/>
      <w:u w:val="single"/>
      <w:lang w:val="en-GB"/>
    </w:rPr>
  </w:style>
  <w:style w:type="character" w:styleId="FollowedHyperlink">
    <w:name w:val="FollowedHyperlink"/>
    <w:semiHidden/>
    <w:rsid w:val="00D31F48"/>
    <w:rPr>
      <w:color w:val="FF0000"/>
      <w:u w:val="single"/>
    </w:rPr>
  </w:style>
  <w:style w:type="character" w:styleId="CommentReference">
    <w:name w:val="annotation reference"/>
    <w:semiHidden/>
    <w:rsid w:val="00D31F48"/>
    <w:rPr>
      <w:sz w:val="16"/>
      <w:szCs w:val="16"/>
    </w:rPr>
  </w:style>
  <w:style w:type="paragraph" w:styleId="CommentText">
    <w:name w:val="annotation text"/>
    <w:basedOn w:val="Normal"/>
    <w:semiHidden/>
    <w:rsid w:val="00D31F48"/>
  </w:style>
  <w:style w:type="paragraph" w:styleId="CommentSubject">
    <w:name w:val="annotation subject"/>
    <w:basedOn w:val="CommentText"/>
    <w:next w:val="CommentText"/>
    <w:semiHidden/>
    <w:rsid w:val="00D31F4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31F48"/>
    <w:rPr>
      <w:rFonts w:ascii="Arial" w:hAnsi="Arial" w:cs="Arial"/>
      <w:sz w:val="36"/>
      <w:szCs w:val="36"/>
      <w:lang w:val="en-GB" w:eastAsia="zh-CN"/>
    </w:rPr>
  </w:style>
  <w:style w:type="paragraph" w:customStyle="1" w:styleId="B1">
    <w:name w:val="B1"/>
    <w:basedOn w:val="List"/>
    <w:rsid w:val="00D31F48"/>
    <w:pPr>
      <w:spacing w:after="180"/>
      <w:jc w:val="left"/>
    </w:pPr>
    <w:rPr>
      <w:lang w:eastAsia="en-US"/>
    </w:rPr>
  </w:style>
  <w:style w:type="paragraph" w:customStyle="1" w:styleId="B2">
    <w:name w:val="B2"/>
    <w:basedOn w:val="List2"/>
    <w:rsid w:val="00D31F48"/>
    <w:pPr>
      <w:spacing w:after="180"/>
      <w:jc w:val="left"/>
    </w:pPr>
    <w:rPr>
      <w:lang w:eastAsia="en-US"/>
    </w:rPr>
  </w:style>
  <w:style w:type="paragraph" w:customStyle="1" w:styleId="B3">
    <w:name w:val="B3"/>
    <w:basedOn w:val="List3"/>
    <w:rsid w:val="00D31F48"/>
    <w:pPr>
      <w:spacing w:after="180"/>
      <w:jc w:val="left"/>
    </w:pPr>
    <w:rPr>
      <w:lang w:eastAsia="en-US"/>
    </w:rPr>
  </w:style>
  <w:style w:type="paragraph" w:customStyle="1" w:styleId="B4">
    <w:name w:val="B4"/>
    <w:basedOn w:val="List4"/>
    <w:rsid w:val="00D31F48"/>
    <w:pPr>
      <w:spacing w:after="180"/>
      <w:jc w:val="left"/>
    </w:pPr>
    <w:rPr>
      <w:lang w:eastAsia="en-US"/>
    </w:rPr>
  </w:style>
  <w:style w:type="paragraph" w:customStyle="1" w:styleId="Proposal">
    <w:name w:val="Proposal"/>
    <w:basedOn w:val="Normal"/>
    <w:rsid w:val="00D31F48"/>
    <w:pPr>
      <w:numPr>
        <w:numId w:val="3"/>
      </w:numPr>
      <w:tabs>
        <w:tab w:val="left" w:pos="1701"/>
      </w:tabs>
      <w:ind w:left="1701" w:hanging="1701"/>
    </w:pPr>
    <w:rPr>
      <w:b/>
      <w:bCs/>
    </w:rPr>
  </w:style>
  <w:style w:type="character" w:customStyle="1" w:styleId="BodyTextChar">
    <w:name w:val="Body Text Char"/>
    <w:link w:val="BodyText"/>
    <w:rsid w:val="00D31F48"/>
    <w:rPr>
      <w:rFonts w:ascii="Arial" w:hAnsi="Arial"/>
      <w:lang w:val="en-GB" w:eastAsia="zh-CN"/>
    </w:rPr>
  </w:style>
  <w:style w:type="paragraph" w:customStyle="1" w:styleId="B5">
    <w:name w:val="B5"/>
    <w:basedOn w:val="List5"/>
    <w:rsid w:val="00D31F48"/>
    <w:pPr>
      <w:spacing w:after="180"/>
      <w:jc w:val="left"/>
    </w:pPr>
    <w:rPr>
      <w:lang w:eastAsia="en-US"/>
    </w:rPr>
  </w:style>
  <w:style w:type="paragraph" w:customStyle="1" w:styleId="EX">
    <w:name w:val="EX"/>
    <w:basedOn w:val="Normal"/>
    <w:rsid w:val="00D31F48"/>
    <w:pPr>
      <w:keepLines/>
      <w:spacing w:after="180"/>
      <w:ind w:left="1702" w:hanging="1418"/>
      <w:jc w:val="left"/>
    </w:pPr>
    <w:rPr>
      <w:lang w:eastAsia="en-US"/>
    </w:rPr>
  </w:style>
  <w:style w:type="paragraph" w:customStyle="1" w:styleId="EW">
    <w:name w:val="EW"/>
    <w:basedOn w:val="EX"/>
    <w:rsid w:val="00D31F48"/>
    <w:pPr>
      <w:spacing w:after="0"/>
    </w:pPr>
  </w:style>
  <w:style w:type="paragraph" w:customStyle="1" w:styleId="TAL">
    <w:name w:val="TAL"/>
    <w:basedOn w:val="Normal"/>
    <w:rsid w:val="00D31F48"/>
    <w:pPr>
      <w:keepNext/>
      <w:keepLines/>
      <w:spacing w:after="0"/>
      <w:jc w:val="left"/>
    </w:pPr>
    <w:rPr>
      <w:sz w:val="18"/>
      <w:lang w:eastAsia="en-US"/>
    </w:rPr>
  </w:style>
  <w:style w:type="paragraph" w:customStyle="1" w:styleId="TAC">
    <w:name w:val="TAC"/>
    <w:basedOn w:val="TAL"/>
    <w:rsid w:val="00D31F48"/>
    <w:pPr>
      <w:jc w:val="center"/>
    </w:pPr>
  </w:style>
  <w:style w:type="paragraph" w:customStyle="1" w:styleId="TAH">
    <w:name w:val="TAH"/>
    <w:basedOn w:val="TAC"/>
    <w:rsid w:val="00D31F48"/>
    <w:rPr>
      <w:b/>
    </w:rPr>
  </w:style>
  <w:style w:type="paragraph" w:customStyle="1" w:styleId="TAN">
    <w:name w:val="TAN"/>
    <w:basedOn w:val="TAL"/>
    <w:rsid w:val="00D31F48"/>
    <w:pPr>
      <w:ind w:left="851" w:hanging="851"/>
    </w:pPr>
  </w:style>
  <w:style w:type="paragraph" w:customStyle="1" w:styleId="TAR">
    <w:name w:val="TAR"/>
    <w:basedOn w:val="TAL"/>
    <w:rsid w:val="00D31F48"/>
    <w:pPr>
      <w:jc w:val="right"/>
    </w:pPr>
  </w:style>
  <w:style w:type="paragraph" w:customStyle="1" w:styleId="TH">
    <w:name w:val="TH"/>
    <w:basedOn w:val="Normal"/>
    <w:rsid w:val="00D31F48"/>
    <w:pPr>
      <w:keepNext/>
      <w:keepLines/>
      <w:spacing w:before="60" w:after="180"/>
      <w:jc w:val="center"/>
    </w:pPr>
    <w:rPr>
      <w:b/>
      <w:lang w:eastAsia="en-US"/>
    </w:rPr>
  </w:style>
  <w:style w:type="paragraph" w:customStyle="1" w:styleId="TF">
    <w:name w:val="TF"/>
    <w:basedOn w:val="TH"/>
    <w:rsid w:val="00D31F48"/>
    <w:pPr>
      <w:keepNext w:val="0"/>
      <w:spacing w:before="0" w:after="240"/>
    </w:pPr>
  </w:style>
  <w:style w:type="paragraph" w:customStyle="1" w:styleId="TT">
    <w:name w:val="TT"/>
    <w:basedOn w:val="Heading1"/>
    <w:next w:val="Normal"/>
    <w:rsid w:val="00D31F48"/>
    <w:pPr>
      <w:numPr>
        <w:numId w:val="0"/>
      </w:numPr>
      <w:ind w:left="1134" w:hanging="1134"/>
      <w:outlineLvl w:val="9"/>
    </w:pPr>
    <w:rPr>
      <w:rFonts w:cs="Times New Roman"/>
      <w:szCs w:val="20"/>
      <w:lang w:eastAsia="en-US"/>
    </w:rPr>
  </w:style>
  <w:style w:type="paragraph" w:customStyle="1" w:styleId="ZA">
    <w:name w:val="ZA"/>
    <w:rsid w:val="00D31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1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31F4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31F4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31F48"/>
  </w:style>
  <w:style w:type="paragraph" w:customStyle="1" w:styleId="ZH">
    <w:name w:val="ZH"/>
    <w:rsid w:val="00D31F4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31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31F48"/>
    <w:pPr>
      <w:framePr w:hRule="auto" w:wrap="notBeside" w:y="852"/>
    </w:pPr>
    <w:rPr>
      <w:i w:val="0"/>
      <w:sz w:val="40"/>
    </w:rPr>
  </w:style>
  <w:style w:type="paragraph" w:customStyle="1" w:styleId="ZU">
    <w:name w:val="ZU"/>
    <w:rsid w:val="00D31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31F48"/>
    <w:pPr>
      <w:framePr w:wrap="notBeside" w:y="16161"/>
    </w:pPr>
  </w:style>
  <w:style w:type="paragraph" w:customStyle="1" w:styleId="FP">
    <w:name w:val="FP"/>
    <w:basedOn w:val="Normal"/>
    <w:rsid w:val="00D31F48"/>
    <w:pPr>
      <w:spacing w:after="0"/>
      <w:jc w:val="left"/>
    </w:pPr>
    <w:rPr>
      <w:lang w:eastAsia="en-US"/>
    </w:rPr>
  </w:style>
  <w:style w:type="paragraph" w:customStyle="1" w:styleId="Observation">
    <w:name w:val="Observation"/>
    <w:basedOn w:val="Proposal"/>
    <w:qFormat/>
    <w:rsid w:val="00D31F48"/>
    <w:pPr>
      <w:numPr>
        <w:numId w:val="13"/>
      </w:numPr>
      <w:ind w:left="1701" w:hanging="1701"/>
    </w:pPr>
  </w:style>
  <w:style w:type="paragraph" w:styleId="TableofFigures">
    <w:name w:val="table of figures"/>
    <w:basedOn w:val="Normal"/>
    <w:next w:val="Normal"/>
    <w:uiPriority w:val="99"/>
    <w:rsid w:val="00D31F48"/>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1044">
      <w:bodyDiv w:val="1"/>
      <w:marLeft w:val="0"/>
      <w:marRight w:val="0"/>
      <w:marTop w:val="0"/>
      <w:marBottom w:val="0"/>
      <w:divBdr>
        <w:top w:val="none" w:sz="0" w:space="0" w:color="auto"/>
        <w:left w:val="none" w:sz="0" w:space="0" w:color="auto"/>
        <w:bottom w:val="none" w:sz="0" w:space="0" w:color="auto"/>
        <w:right w:val="none" w:sz="0" w:space="0" w:color="auto"/>
      </w:divBdr>
    </w:div>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732076550">
      <w:bodyDiv w:val="1"/>
      <w:marLeft w:val="0"/>
      <w:marRight w:val="0"/>
      <w:marTop w:val="0"/>
      <w:marBottom w:val="0"/>
      <w:divBdr>
        <w:top w:val="none" w:sz="0" w:space="0" w:color="auto"/>
        <w:left w:val="none" w:sz="0" w:space="0" w:color="auto"/>
        <w:bottom w:val="none" w:sz="0" w:space="0" w:color="auto"/>
        <w:right w:val="none" w:sz="0" w:space="0" w:color="auto"/>
      </w:divBdr>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 w:id="1891964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5NUHHDQN7SK2-1-184992</_dlc_DocId>
    <TaxCatchAll xmlns="08b2df90-05d3-4030-90d4-c9feeb4a1cd9">
      <Value>10</Value>
      <Value>9</Value>
      <Value>8</Value>
      <Value>3</Value>
      <Value>1</Value>
    </TaxCatchAll>
    <_dlc_DocIdUrl xmlns="08b2df90-05d3-4030-90d4-c9feeb4a1cd9">
      <Url>https://ericoll.internal.ericsson.com/sites/star/_layouts/DocIdRedir.aspx?ID=5NUHHDQN7SK2-1-184992</Url>
      <Description>5NUHHDQN7SK2-1-184992</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2.xml><?xml version="1.0" encoding="utf-8"?>
<ds:datastoreItem xmlns:ds="http://schemas.openxmlformats.org/officeDocument/2006/customXml" ds:itemID="{35A17C3A-8C00-461B-BF18-3367A91D6161}">
  <ds:schemaRefs>
    <ds:schemaRef ds:uri="http://schemas.microsoft.com/sharepoint/events"/>
  </ds:schemaRefs>
</ds:datastoreItem>
</file>

<file path=customXml/itemProps3.xml><?xml version="1.0" encoding="utf-8"?>
<ds:datastoreItem xmlns:ds="http://schemas.openxmlformats.org/officeDocument/2006/customXml" ds:itemID="{C330DB7A-5F54-4733-845E-DFDB8C9FCBAE}">
  <ds:schemaRefs>
    <ds:schemaRef ds:uri="Microsoft.SharePoint.Taxonomy.ContentTypeSync"/>
  </ds:schemaRefs>
</ds:datastoreItem>
</file>

<file path=customXml/itemProps4.xml><?xml version="1.0" encoding="utf-8"?>
<ds:datastoreItem xmlns:ds="http://schemas.openxmlformats.org/officeDocument/2006/customXml" ds:itemID="{96CEE06E-466E-406D-A8DB-B7486FADF859}">
  <ds:schemaRefs>
    <ds:schemaRef ds:uri="http://schemas.microsoft.com/office/2006/documentManagement/types"/>
    <ds:schemaRef ds:uri="http://purl.org/dc/dcmitype/"/>
    <ds:schemaRef ds:uri="08b2df90-05d3-4030-90d4-c9feeb4a1cd9"/>
    <ds:schemaRef ds:uri="http://purl.org/dc/elements/1.1/"/>
    <ds:schemaRef ds:uri="http://schemas.microsoft.com/sharepoint/v4"/>
    <ds:schemaRef ds:uri="7789c8df-cd92-43c1-8a83-195dbc0f0a0a"/>
    <ds:schemaRef ds:uri="http://www.w3.org/XML/1998/namespace"/>
    <ds:schemaRef ds:uri="http://schemas.openxmlformats.org/package/2006/metadata/core-properties"/>
    <ds:schemaRef ds:uri="http://schemas.microsoft.com/office/infopath/2007/PartnerControls"/>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946061F1-835F-4530-ABD0-5527A065F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7F73BBB-DD61-460F-A579-9C683A6E0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4</Pages>
  <Words>1480</Words>
  <Characters>8438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Icaro-3</cp:lastModifiedBy>
  <cp:revision>2</cp:revision>
  <cp:lastPrinted>2016-08-03T08:58:00Z</cp:lastPrinted>
  <dcterms:created xsi:type="dcterms:W3CDTF">2017-11-17T02:40:00Z</dcterms:created>
  <dcterms:modified xsi:type="dcterms:W3CDTF">2017-11-17T02:40:00Z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820bfe13-c093-45df-a16b-4535f4fde8c7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